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8BA3C" w14:textId="225D0DA8" w:rsidR="00391A27" w:rsidRDefault="005A2664"/>
    <w:p w14:paraId="66E1B095" w14:textId="7B403A10" w:rsidR="001B2E26" w:rsidRDefault="001B2E26"/>
    <w:p w14:paraId="6A007444" w14:textId="2E7949AB" w:rsidR="001B2E26" w:rsidRDefault="001B2E26"/>
    <w:p w14:paraId="7E0BED59" w14:textId="77777777" w:rsidR="001B2E26" w:rsidRDefault="001B2E26"/>
    <w:p w14:paraId="336561C9" w14:textId="15BC3125" w:rsidR="001B2E26" w:rsidRDefault="001B2E26" w:rsidP="001B2E26">
      <w:pPr>
        <w:jc w:val="center"/>
        <w:rPr>
          <w:rFonts w:ascii="Century Gothic" w:hAnsi="Century Gothic" w:cs="Consolas"/>
          <w:b/>
          <w:bCs/>
          <w:color w:val="00A7E7"/>
          <w:kern w:val="24"/>
          <w:sz w:val="60"/>
          <w:szCs w:val="60"/>
        </w:rPr>
      </w:pPr>
      <w:r w:rsidRPr="003B760A">
        <w:rPr>
          <w:rFonts w:ascii="Century Gothic" w:hAnsi="Century Gothic" w:cs="Consolas"/>
          <w:b/>
          <w:bCs/>
          <w:color w:val="00A7E7"/>
          <w:kern w:val="24"/>
          <w:sz w:val="60"/>
          <w:szCs w:val="60"/>
        </w:rPr>
        <w:softHyphen/>
      </w:r>
      <w:r w:rsidRPr="003B760A">
        <w:rPr>
          <w:rFonts w:ascii="Century Gothic" w:hAnsi="Century Gothic" w:cs="Consolas"/>
          <w:b/>
          <w:bCs/>
          <w:color w:val="00A7E7"/>
          <w:kern w:val="24"/>
          <w:sz w:val="60"/>
          <w:szCs w:val="60"/>
        </w:rPr>
        <w:softHyphen/>
      </w:r>
      <w:r w:rsidRPr="003B760A">
        <w:rPr>
          <w:rFonts w:ascii="Century Gothic" w:hAnsi="Century Gothic" w:cs="Consolas"/>
          <w:b/>
          <w:bCs/>
          <w:color w:val="00A7E7"/>
          <w:kern w:val="24"/>
          <w:sz w:val="60"/>
          <w:szCs w:val="60"/>
        </w:rPr>
        <w:softHyphen/>
      </w:r>
      <w:r w:rsidRPr="00AA647B">
        <w:rPr>
          <w:rFonts w:ascii="Century Gothic" w:eastAsiaTheme="minorEastAsia" w:hAnsi="Century Gothic" w:cs="Consolas"/>
          <w:b/>
          <w:bCs/>
          <w:noProof/>
          <w:kern w:val="24"/>
          <w:sz w:val="36"/>
          <w:szCs w:val="36"/>
          <w:lang w:val="en-AU" w:eastAsia="en-AU"/>
        </w:rPr>
        <w:drawing>
          <wp:inline distT="0" distB="0" distL="0" distR="0" wp14:anchorId="6FB61714" wp14:editId="37A054C6">
            <wp:extent cx="4165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69E8FC06" w14:textId="77777777" w:rsidR="001B2E26" w:rsidRDefault="001B2E26" w:rsidP="001B2E26">
      <w:pPr>
        <w:jc w:val="center"/>
        <w:rPr>
          <w:rFonts w:ascii="Century Gothic" w:hAnsi="Century Gothic" w:cs="Consolas"/>
          <w:b/>
          <w:bCs/>
          <w:color w:val="00A7E7"/>
          <w:kern w:val="24"/>
          <w:sz w:val="60"/>
          <w:szCs w:val="60"/>
        </w:rPr>
      </w:pPr>
    </w:p>
    <w:p w14:paraId="28FEBC8C" w14:textId="77777777" w:rsidR="001B2E26" w:rsidRDefault="001B2E26" w:rsidP="001B2E26">
      <w:pPr>
        <w:jc w:val="center"/>
        <w:rPr>
          <w:rFonts w:ascii="Century Gothic" w:hAnsi="Century Gothic" w:cs="Consolas"/>
          <w:b/>
          <w:bCs/>
          <w:color w:val="00A7E7"/>
          <w:kern w:val="24"/>
          <w:sz w:val="60"/>
          <w:szCs w:val="60"/>
        </w:rPr>
      </w:pPr>
    </w:p>
    <w:p w14:paraId="003BAA44" w14:textId="77777777" w:rsidR="001B2E26" w:rsidRDefault="001B2E26" w:rsidP="001B2E26">
      <w:pPr>
        <w:jc w:val="center"/>
        <w:rPr>
          <w:rFonts w:ascii="Century Gothic" w:hAnsi="Century Gothic" w:cs="Consolas"/>
          <w:b/>
          <w:bCs/>
          <w:color w:val="00A7E7"/>
          <w:kern w:val="24"/>
          <w:sz w:val="60"/>
          <w:szCs w:val="60"/>
        </w:rPr>
      </w:pPr>
    </w:p>
    <w:p w14:paraId="7F844297" w14:textId="77777777" w:rsidR="001B2E26" w:rsidRDefault="001B2E26" w:rsidP="00F8038D">
      <w:pPr>
        <w:rPr>
          <w:rFonts w:ascii="Century Gothic" w:hAnsi="Century Gothic" w:cs="Consolas"/>
          <w:b/>
          <w:bCs/>
          <w:color w:val="00A7E7"/>
          <w:kern w:val="24"/>
          <w:sz w:val="60"/>
          <w:szCs w:val="60"/>
        </w:rPr>
      </w:pPr>
    </w:p>
    <w:p w14:paraId="0DB7F6C4" w14:textId="6763ECE7" w:rsidR="001B2E26" w:rsidRPr="003B760A" w:rsidRDefault="001B2E26" w:rsidP="001B2E26">
      <w:pPr>
        <w:jc w:val="center"/>
        <w:rPr>
          <w:rFonts w:ascii="Century Gothic" w:eastAsiaTheme="minorEastAsia" w:hAnsi="Century Gothic" w:cs="Consolas"/>
          <w:color w:val="00A7E7"/>
          <w:kern w:val="24"/>
          <w:sz w:val="52"/>
          <w:szCs w:val="36"/>
        </w:rPr>
      </w:pPr>
      <w:r w:rsidRPr="003B760A">
        <w:rPr>
          <w:rFonts w:ascii="Century Gothic" w:hAnsi="Century Gothic" w:cs="Consolas"/>
          <w:color w:val="00A7E7"/>
          <w:kern w:val="24"/>
          <w:sz w:val="60"/>
          <w:szCs w:val="60"/>
        </w:rPr>
        <w:t>Infection Prevention Toolkit</w:t>
      </w:r>
    </w:p>
    <w:p w14:paraId="65827E9D" w14:textId="77777777" w:rsidR="001B2E26" w:rsidRPr="00AA647B" w:rsidRDefault="001B2E26" w:rsidP="001B2E26">
      <w:pPr>
        <w:pStyle w:val="NormalWeb"/>
        <w:spacing w:before="0" w:beforeAutospacing="0" w:after="0" w:afterAutospacing="0"/>
        <w:jc w:val="center"/>
        <w:rPr>
          <w:rFonts w:ascii="Century Gothic" w:eastAsiaTheme="majorEastAsia" w:hAnsi="Century Gothic" w:cstheme="majorBidi"/>
          <w:color w:val="B34B8B"/>
          <w:kern w:val="24"/>
          <w:sz w:val="36"/>
          <w:szCs w:val="120"/>
        </w:rPr>
      </w:pPr>
      <w:r w:rsidRPr="00AA647B">
        <w:rPr>
          <w:rFonts w:ascii="Century Gothic" w:eastAsiaTheme="majorEastAsia" w:hAnsi="Century Gothic" w:cstheme="majorBidi"/>
          <w:color w:val="B34B8B"/>
          <w:kern w:val="24"/>
          <w:sz w:val="36"/>
          <w:szCs w:val="120"/>
        </w:rPr>
        <w:t xml:space="preserve">Prevention of Infection during </w:t>
      </w:r>
    </w:p>
    <w:p w14:paraId="5A403CD4" w14:textId="2A9D736F" w:rsidR="001B2E26" w:rsidRDefault="001B2E26" w:rsidP="001B2E26">
      <w:pPr>
        <w:pStyle w:val="NormalWeb"/>
        <w:spacing w:before="0" w:beforeAutospacing="0" w:after="0" w:afterAutospacing="0"/>
        <w:jc w:val="center"/>
        <w:rPr>
          <w:rFonts w:ascii="Century Gothic" w:eastAsiaTheme="majorEastAsia" w:hAnsi="Century Gothic" w:cstheme="majorBidi"/>
          <w:color w:val="B34B8B"/>
          <w:kern w:val="24"/>
          <w:sz w:val="36"/>
          <w:szCs w:val="120"/>
        </w:rPr>
      </w:pPr>
      <w:r w:rsidRPr="00AA647B">
        <w:rPr>
          <w:rFonts w:ascii="Century Gothic" w:eastAsiaTheme="majorEastAsia" w:hAnsi="Century Gothic" w:cstheme="majorBidi"/>
          <w:color w:val="B34B8B"/>
          <w:kern w:val="24"/>
          <w:sz w:val="36"/>
          <w:szCs w:val="120"/>
        </w:rPr>
        <w:t>Ultrasound Probe Use and Reprocessing</w:t>
      </w:r>
    </w:p>
    <w:p w14:paraId="1E1525DD" w14:textId="2C5A4BAE" w:rsidR="001B2E26" w:rsidRDefault="001B2E26" w:rsidP="001B2E26">
      <w:pPr>
        <w:pStyle w:val="NormalWeb"/>
        <w:spacing w:before="0" w:beforeAutospacing="0" w:after="0" w:afterAutospacing="0"/>
        <w:jc w:val="center"/>
        <w:rPr>
          <w:rFonts w:ascii="Century Gothic" w:hAnsi="Century Gothic"/>
          <w:color w:val="B34B8B"/>
        </w:rPr>
      </w:pPr>
    </w:p>
    <w:p w14:paraId="1F161520" w14:textId="616462F0" w:rsidR="001B2E26" w:rsidRPr="001B2E26" w:rsidRDefault="001B2E26" w:rsidP="001B2E26">
      <w:pPr>
        <w:pStyle w:val="NormalWeb"/>
        <w:spacing w:before="0" w:beforeAutospacing="0" w:after="0" w:afterAutospacing="0"/>
        <w:jc w:val="center"/>
        <w:rPr>
          <w:rFonts w:ascii="Century Gothic" w:hAnsi="Century Gothic"/>
          <w:color w:val="717275"/>
        </w:rPr>
      </w:pPr>
      <w:r w:rsidRPr="001B2E26">
        <w:rPr>
          <w:rFonts w:ascii="Century Gothic" w:hAnsi="Century Gothic"/>
          <w:color w:val="717275"/>
        </w:rPr>
        <w:t>http://www.ultrasoundinfectionprevention.org/</w:t>
      </w:r>
    </w:p>
    <w:p w14:paraId="6D6A6B27" w14:textId="633478F7" w:rsidR="001B2E26" w:rsidRPr="00AA647B" w:rsidRDefault="001B2E26" w:rsidP="001B2E26">
      <w:pPr>
        <w:jc w:val="center"/>
        <w:rPr>
          <w:rFonts w:ascii="Century Gothic" w:hAnsi="Century Gothic" w:cs="Consolas"/>
          <w:color w:val="7030A0"/>
          <w:sz w:val="24"/>
          <w:szCs w:val="24"/>
        </w:rPr>
      </w:pPr>
      <w:r w:rsidRPr="00AA647B">
        <w:rPr>
          <w:rFonts w:ascii="Century Gothic" w:eastAsiaTheme="minorEastAsia" w:hAnsi="Century Gothic" w:cs="Consolas"/>
          <w:kern w:val="24"/>
          <w:sz w:val="24"/>
          <w:szCs w:val="24"/>
        </w:rPr>
        <w:br w:type="page"/>
      </w:r>
    </w:p>
    <w:p w14:paraId="1CBB27FF" w14:textId="77777777" w:rsidR="001B2E26" w:rsidRPr="003B760A" w:rsidRDefault="001B2E26" w:rsidP="001B2E26">
      <w:pPr>
        <w:jc w:val="both"/>
        <w:rPr>
          <w:rFonts w:ascii="Century Gothic" w:hAnsi="Century Gothic"/>
          <w:b/>
          <w:color w:val="00A7E7"/>
          <w:sz w:val="24"/>
          <w:szCs w:val="24"/>
        </w:rPr>
      </w:pPr>
      <w:r w:rsidRPr="003B760A">
        <w:rPr>
          <w:rFonts w:ascii="Century Gothic" w:hAnsi="Century Gothic"/>
          <w:b/>
          <w:color w:val="00A7E7"/>
          <w:sz w:val="24"/>
          <w:szCs w:val="24"/>
        </w:rPr>
        <w:lastRenderedPageBreak/>
        <w:t>Foreword</w:t>
      </w:r>
    </w:p>
    <w:p w14:paraId="52FA1869" w14:textId="77777777" w:rsidR="001B2E26" w:rsidRPr="00AA647B" w:rsidRDefault="001B2E26" w:rsidP="001B2E26">
      <w:pPr>
        <w:jc w:val="both"/>
        <w:rPr>
          <w:rFonts w:ascii="Century Gothic" w:hAnsi="Century Gothic"/>
          <w:sz w:val="24"/>
          <w:szCs w:val="24"/>
        </w:rPr>
      </w:pPr>
      <w:r w:rsidRPr="00AA647B">
        <w:rPr>
          <w:rFonts w:ascii="Century Gothic" w:hAnsi="Century Gothic"/>
          <w:sz w:val="24"/>
          <w:szCs w:val="24"/>
        </w:rPr>
        <w:t xml:space="preserve">This toolkit has been assembled in consultation with clinical experts with backgrounds in infection prevention and instrument reprocessing. The objective in developing this toolkit has been to provide a resource regarding infection prevention during the use and reprocessing of ultrasound probes. </w:t>
      </w:r>
    </w:p>
    <w:p w14:paraId="5F874584" w14:textId="77777777" w:rsidR="001B2E26" w:rsidRPr="00AA647B" w:rsidRDefault="001B2E26" w:rsidP="001B2E26">
      <w:pPr>
        <w:jc w:val="both"/>
        <w:rPr>
          <w:rFonts w:ascii="Century Gothic" w:hAnsi="Century Gothic"/>
          <w:sz w:val="24"/>
          <w:szCs w:val="24"/>
        </w:rPr>
      </w:pPr>
      <w:r w:rsidRPr="00AA647B">
        <w:rPr>
          <w:rFonts w:ascii="Century Gothic" w:hAnsi="Century Gothic"/>
          <w:sz w:val="24"/>
          <w:szCs w:val="24"/>
        </w:rPr>
        <w:t>The following individuals have contributed to the development of this toolkit:</w:t>
      </w:r>
    </w:p>
    <w:p w14:paraId="6382BCD5" w14:textId="77777777" w:rsidR="001B2E26" w:rsidRPr="00AA647B" w:rsidRDefault="001B2E26" w:rsidP="001B2E26">
      <w:pPr>
        <w:spacing w:after="0" w:line="240" w:lineRule="auto"/>
        <w:ind w:left="1134"/>
        <w:jc w:val="both"/>
        <w:rPr>
          <w:rFonts w:ascii="Century Gothic" w:eastAsia="Times New Roman" w:hAnsi="Century Gothic" w:cs="Times New Roman"/>
          <w:bCs/>
          <w:i/>
          <w:color w:val="000000" w:themeColor="text1"/>
          <w:kern w:val="24"/>
          <w:sz w:val="24"/>
          <w:szCs w:val="24"/>
        </w:rPr>
      </w:pPr>
      <w:r w:rsidRPr="00AA647B">
        <w:rPr>
          <w:rFonts w:ascii="Century Gothic" w:eastAsia="Times New Roman" w:hAnsi="Century Gothic" w:cs="Times New Roman"/>
          <w:b/>
          <w:bCs/>
          <w:color w:val="000000" w:themeColor="text1"/>
          <w:kern w:val="24"/>
          <w:sz w:val="24"/>
          <w:szCs w:val="24"/>
        </w:rPr>
        <w:t xml:space="preserve">Sue Barnes </w:t>
      </w:r>
      <w:r w:rsidRPr="00AA647B">
        <w:rPr>
          <w:rFonts w:ascii="Century Gothic" w:eastAsia="Times New Roman" w:hAnsi="Century Gothic" w:cs="Times New Roman"/>
          <w:bCs/>
          <w:i/>
          <w:color w:val="000000" w:themeColor="text1"/>
          <w:kern w:val="24"/>
          <w:sz w:val="24"/>
          <w:szCs w:val="24"/>
        </w:rPr>
        <w:t>RN CIC FAPIC</w:t>
      </w:r>
    </w:p>
    <w:p w14:paraId="29931617" w14:textId="77777777" w:rsidR="001B2E26" w:rsidRPr="00AA647B" w:rsidRDefault="001B2E26" w:rsidP="001B2E26">
      <w:pPr>
        <w:spacing w:after="0" w:line="240" w:lineRule="auto"/>
        <w:ind w:left="1134"/>
        <w:jc w:val="both"/>
        <w:rPr>
          <w:rFonts w:ascii="Century Gothic" w:eastAsia="Times New Roman" w:hAnsi="Century Gothic" w:cs="Times New Roman"/>
          <w:color w:val="000000" w:themeColor="text1"/>
          <w:kern w:val="24"/>
          <w:sz w:val="24"/>
          <w:szCs w:val="24"/>
        </w:rPr>
      </w:pPr>
      <w:r w:rsidRPr="00AA647B">
        <w:rPr>
          <w:rFonts w:ascii="Century Gothic" w:eastAsia="Times New Roman" w:hAnsi="Century Gothic" w:cs="Times New Roman"/>
          <w:b/>
          <w:bCs/>
          <w:color w:val="000000" w:themeColor="text1"/>
          <w:kern w:val="24"/>
          <w:sz w:val="24"/>
          <w:szCs w:val="24"/>
        </w:rPr>
        <w:t xml:space="preserve">Roy Boukidjian </w:t>
      </w:r>
      <w:r w:rsidRPr="00AA647B">
        <w:rPr>
          <w:rFonts w:ascii="Century Gothic" w:eastAsia="Times New Roman" w:hAnsi="Century Gothic" w:cs="Times New Roman"/>
          <w:i/>
          <w:iCs/>
          <w:color w:val="000000" w:themeColor="text1"/>
          <w:kern w:val="24"/>
          <w:sz w:val="24"/>
          <w:szCs w:val="24"/>
        </w:rPr>
        <w:t>MSN PHN CIC</w:t>
      </w:r>
    </w:p>
    <w:p w14:paraId="0AC33A9D" w14:textId="77777777" w:rsidR="001B2E26" w:rsidRPr="00AA647B" w:rsidRDefault="001B2E26" w:rsidP="001B2E26">
      <w:pPr>
        <w:spacing w:after="0" w:line="240" w:lineRule="auto"/>
        <w:ind w:left="1134"/>
        <w:jc w:val="both"/>
        <w:rPr>
          <w:rFonts w:ascii="Century Gothic" w:eastAsia="Times New Roman" w:hAnsi="Century Gothic" w:cs="Times New Roman"/>
          <w:color w:val="000000" w:themeColor="text1"/>
          <w:kern w:val="24"/>
          <w:sz w:val="24"/>
          <w:szCs w:val="24"/>
        </w:rPr>
      </w:pPr>
      <w:r w:rsidRPr="00AA647B">
        <w:rPr>
          <w:rFonts w:ascii="Century Gothic" w:eastAsia="Times New Roman" w:hAnsi="Century Gothic" w:cs="Times New Roman"/>
          <w:b/>
          <w:bCs/>
          <w:color w:val="000000" w:themeColor="text1"/>
          <w:kern w:val="24"/>
          <w:sz w:val="24"/>
          <w:szCs w:val="24"/>
        </w:rPr>
        <w:t xml:space="preserve">Ruth Carrico </w:t>
      </w:r>
      <w:r w:rsidRPr="00AA647B">
        <w:rPr>
          <w:rFonts w:ascii="Century Gothic" w:eastAsia="Times New Roman" w:hAnsi="Century Gothic" w:cs="Times New Roman"/>
          <w:i/>
          <w:iCs/>
          <w:color w:val="000000" w:themeColor="text1"/>
          <w:kern w:val="24"/>
          <w:sz w:val="24"/>
          <w:szCs w:val="24"/>
        </w:rPr>
        <w:t>PhD DNP APRN FSHEA CIC</w:t>
      </w:r>
    </w:p>
    <w:p w14:paraId="7EAC4CBB" w14:textId="77777777" w:rsidR="001B2E26" w:rsidRPr="00AA647B" w:rsidRDefault="001B2E26" w:rsidP="001B2E26">
      <w:pPr>
        <w:spacing w:after="0" w:line="240" w:lineRule="auto"/>
        <w:ind w:left="1134"/>
        <w:jc w:val="both"/>
        <w:rPr>
          <w:rFonts w:ascii="Century Gothic" w:eastAsia="Times New Roman" w:hAnsi="Century Gothic" w:cs="Times New Roman"/>
          <w:color w:val="000000" w:themeColor="text1"/>
          <w:kern w:val="24"/>
          <w:sz w:val="24"/>
          <w:szCs w:val="24"/>
        </w:rPr>
      </w:pPr>
      <w:r w:rsidRPr="00AA647B">
        <w:rPr>
          <w:rFonts w:ascii="Century Gothic" w:eastAsia="Times New Roman" w:hAnsi="Century Gothic" w:cs="Times New Roman"/>
          <w:b/>
          <w:bCs/>
          <w:color w:val="000000" w:themeColor="text1"/>
          <w:kern w:val="24"/>
          <w:sz w:val="24"/>
          <w:szCs w:val="24"/>
        </w:rPr>
        <w:t xml:space="preserve">Robert Garcia </w:t>
      </w:r>
      <w:r w:rsidRPr="00AA647B">
        <w:rPr>
          <w:rFonts w:ascii="Century Gothic" w:eastAsia="Times New Roman" w:hAnsi="Century Gothic" w:cs="Times New Roman"/>
          <w:i/>
          <w:iCs/>
          <w:color w:val="000000" w:themeColor="text1"/>
          <w:kern w:val="24"/>
          <w:sz w:val="24"/>
          <w:szCs w:val="24"/>
        </w:rPr>
        <w:t>BS MT CIC</w:t>
      </w:r>
    </w:p>
    <w:p w14:paraId="3308AEE0" w14:textId="77777777" w:rsidR="001B2E26" w:rsidRPr="00AA647B" w:rsidRDefault="001B2E26" w:rsidP="001B2E26">
      <w:pPr>
        <w:spacing w:after="0" w:line="240" w:lineRule="auto"/>
        <w:ind w:left="1134"/>
        <w:jc w:val="both"/>
        <w:rPr>
          <w:rFonts w:ascii="Century Gothic" w:eastAsia="Times New Roman" w:hAnsi="Century Gothic" w:cs="Times New Roman"/>
          <w:color w:val="000000" w:themeColor="text1"/>
          <w:kern w:val="24"/>
          <w:sz w:val="24"/>
          <w:szCs w:val="24"/>
        </w:rPr>
      </w:pPr>
      <w:r w:rsidRPr="00AA647B">
        <w:rPr>
          <w:rFonts w:ascii="Century Gothic" w:eastAsia="Times New Roman" w:hAnsi="Century Gothic" w:cs="Times New Roman"/>
          <w:b/>
          <w:bCs/>
          <w:color w:val="000000" w:themeColor="text1"/>
          <w:kern w:val="24"/>
          <w:sz w:val="24"/>
          <w:szCs w:val="24"/>
        </w:rPr>
        <w:t xml:space="preserve">Sylvia Garcia-Houchins </w:t>
      </w:r>
      <w:r w:rsidRPr="00AA647B">
        <w:rPr>
          <w:rFonts w:ascii="Century Gothic" w:eastAsia="Times New Roman" w:hAnsi="Century Gothic" w:cs="Times New Roman"/>
          <w:i/>
          <w:iCs/>
          <w:color w:val="000000" w:themeColor="text1"/>
          <w:kern w:val="24"/>
          <w:sz w:val="24"/>
          <w:szCs w:val="24"/>
        </w:rPr>
        <w:t>RN MBA CIC</w:t>
      </w:r>
    </w:p>
    <w:p w14:paraId="6F299479" w14:textId="77777777" w:rsidR="001B2E26" w:rsidRPr="00AA647B" w:rsidRDefault="001B2E26" w:rsidP="001B2E26">
      <w:pPr>
        <w:spacing w:after="0" w:line="240" w:lineRule="auto"/>
        <w:ind w:left="1134"/>
        <w:jc w:val="both"/>
        <w:rPr>
          <w:rFonts w:ascii="Century Gothic" w:eastAsia="Times New Roman" w:hAnsi="Century Gothic" w:cs="Times New Roman"/>
          <w:color w:val="000000" w:themeColor="text1"/>
          <w:kern w:val="24"/>
          <w:sz w:val="24"/>
          <w:szCs w:val="24"/>
        </w:rPr>
      </w:pPr>
      <w:r w:rsidRPr="00AA647B">
        <w:rPr>
          <w:rFonts w:ascii="Century Gothic" w:eastAsia="Times New Roman" w:hAnsi="Century Gothic" w:cs="Times New Roman"/>
          <w:b/>
          <w:bCs/>
          <w:color w:val="000000" w:themeColor="text1"/>
          <w:kern w:val="24"/>
          <w:sz w:val="24"/>
          <w:szCs w:val="24"/>
        </w:rPr>
        <w:t xml:space="preserve">Amy Nichols </w:t>
      </w:r>
      <w:r w:rsidRPr="00AA647B">
        <w:rPr>
          <w:rFonts w:ascii="Century Gothic" w:eastAsia="Times New Roman" w:hAnsi="Century Gothic" w:cs="Times New Roman"/>
          <w:i/>
          <w:iCs/>
          <w:color w:val="000000" w:themeColor="text1"/>
          <w:kern w:val="24"/>
          <w:sz w:val="24"/>
          <w:szCs w:val="24"/>
        </w:rPr>
        <w:t>RN MBA CIC FAPIC</w:t>
      </w:r>
    </w:p>
    <w:p w14:paraId="2931E2A4" w14:textId="77777777" w:rsidR="001B2E26" w:rsidRPr="00AA647B" w:rsidRDefault="001B2E26" w:rsidP="001B2E26">
      <w:pPr>
        <w:spacing w:after="0" w:line="240" w:lineRule="auto"/>
        <w:ind w:left="1134"/>
        <w:jc w:val="both"/>
        <w:rPr>
          <w:rFonts w:ascii="Century Gothic" w:eastAsia="Times New Roman" w:hAnsi="Century Gothic" w:cs="Times New Roman"/>
          <w:bCs/>
          <w:i/>
          <w:color w:val="000000" w:themeColor="text1"/>
          <w:kern w:val="24"/>
          <w:sz w:val="24"/>
          <w:szCs w:val="24"/>
        </w:rPr>
      </w:pPr>
      <w:r w:rsidRPr="00AA647B">
        <w:rPr>
          <w:rFonts w:ascii="Century Gothic" w:eastAsia="Times New Roman" w:hAnsi="Century Gothic" w:cs="Times New Roman"/>
          <w:b/>
          <w:bCs/>
          <w:color w:val="000000" w:themeColor="text1"/>
          <w:kern w:val="24"/>
          <w:sz w:val="24"/>
          <w:szCs w:val="24"/>
        </w:rPr>
        <w:t xml:space="preserve">Rose Seavey </w:t>
      </w:r>
      <w:r w:rsidRPr="00AA647B">
        <w:rPr>
          <w:rFonts w:ascii="Century Gothic" w:eastAsia="Times New Roman" w:hAnsi="Century Gothic" w:cs="Times New Roman"/>
          <w:bCs/>
          <w:i/>
          <w:color w:val="000000" w:themeColor="text1"/>
          <w:kern w:val="24"/>
          <w:sz w:val="24"/>
          <w:szCs w:val="24"/>
        </w:rPr>
        <w:t>MBA BS RN CNOR CRCST CSPDT</w:t>
      </w:r>
    </w:p>
    <w:p w14:paraId="79D06AA4" w14:textId="77777777" w:rsidR="001B2E26" w:rsidRPr="00AA647B" w:rsidRDefault="001B2E26" w:rsidP="001B2E26">
      <w:pPr>
        <w:spacing w:after="0" w:line="240" w:lineRule="auto"/>
        <w:ind w:left="1134"/>
        <w:jc w:val="both"/>
        <w:rPr>
          <w:rFonts w:ascii="Century Gothic" w:eastAsiaTheme="minorEastAsia" w:hAnsi="Century Gothic" w:cs="Times New Roman"/>
          <w:sz w:val="24"/>
          <w:szCs w:val="24"/>
        </w:rPr>
      </w:pPr>
      <w:r w:rsidRPr="00AA647B">
        <w:rPr>
          <w:rFonts w:ascii="Century Gothic" w:eastAsia="Times New Roman" w:hAnsi="Century Gothic" w:cs="Times New Roman"/>
          <w:b/>
          <w:bCs/>
          <w:color w:val="000000" w:themeColor="text1"/>
          <w:kern w:val="24"/>
          <w:sz w:val="24"/>
          <w:szCs w:val="24"/>
        </w:rPr>
        <w:t xml:space="preserve">John Whelan </w:t>
      </w:r>
      <w:r w:rsidRPr="00AA647B">
        <w:rPr>
          <w:rFonts w:ascii="Century Gothic" w:eastAsia="Times New Roman" w:hAnsi="Century Gothic" w:cs="Times New Roman"/>
          <w:i/>
          <w:iCs/>
          <w:color w:val="000000" w:themeColor="text1"/>
          <w:kern w:val="24"/>
          <w:sz w:val="24"/>
          <w:szCs w:val="24"/>
        </w:rPr>
        <w:t>BSN RN</w:t>
      </w:r>
    </w:p>
    <w:p w14:paraId="4B981734" w14:textId="77777777" w:rsidR="001B2E26" w:rsidRPr="00AA647B" w:rsidRDefault="001B2E26" w:rsidP="001B2E26">
      <w:pPr>
        <w:jc w:val="both"/>
        <w:rPr>
          <w:rFonts w:ascii="Century Gothic" w:hAnsi="Century Gothic"/>
          <w:sz w:val="24"/>
          <w:szCs w:val="24"/>
        </w:rPr>
      </w:pPr>
    </w:p>
    <w:p w14:paraId="24BF0906" w14:textId="77777777" w:rsidR="001B2E26" w:rsidRPr="003B760A" w:rsidRDefault="001B2E26" w:rsidP="001B2E26">
      <w:pPr>
        <w:jc w:val="both"/>
        <w:rPr>
          <w:rFonts w:ascii="Century Gothic" w:hAnsi="Century Gothic"/>
          <w:b/>
          <w:color w:val="00A7E7"/>
          <w:sz w:val="24"/>
          <w:szCs w:val="24"/>
        </w:rPr>
      </w:pPr>
      <w:r w:rsidRPr="003B760A">
        <w:rPr>
          <w:rFonts w:ascii="Century Gothic" w:hAnsi="Century Gothic"/>
          <w:b/>
          <w:color w:val="00A7E7"/>
          <w:sz w:val="24"/>
          <w:szCs w:val="24"/>
        </w:rPr>
        <w:t>Approach and Principles</w:t>
      </w:r>
    </w:p>
    <w:p w14:paraId="4FC9EA92" w14:textId="77777777" w:rsidR="001B2E26" w:rsidRPr="00AA647B" w:rsidRDefault="001B2E26" w:rsidP="001B2E26">
      <w:pPr>
        <w:jc w:val="both"/>
        <w:rPr>
          <w:rFonts w:ascii="Century Gothic" w:hAnsi="Century Gothic"/>
          <w:sz w:val="24"/>
          <w:szCs w:val="24"/>
        </w:rPr>
      </w:pPr>
      <w:r w:rsidRPr="00AA647B">
        <w:rPr>
          <w:rFonts w:ascii="Century Gothic" w:hAnsi="Century Gothic"/>
          <w:sz w:val="24"/>
          <w:szCs w:val="24"/>
        </w:rPr>
        <w:t>These tools have been assembled based on best practice guidelines with the goal of reducing infection risks associated with ultrasound use in the interest of patient safety. Guidelines referenced in this toolkit are evidence</w:t>
      </w:r>
      <w:r>
        <w:rPr>
          <w:rFonts w:ascii="Century Gothic" w:hAnsi="Century Gothic"/>
          <w:sz w:val="24"/>
          <w:szCs w:val="24"/>
        </w:rPr>
        <w:t>-</w:t>
      </w:r>
      <w:r w:rsidRPr="00AA647B">
        <w:rPr>
          <w:rFonts w:ascii="Century Gothic" w:hAnsi="Century Gothic"/>
          <w:sz w:val="24"/>
          <w:szCs w:val="24"/>
        </w:rPr>
        <w:t xml:space="preserve">based, have been developed with infection prevention representation and have followed a formal guideline development process, including a public comment period. These tools are intended to guide the development of institutional policies and procedures, with an understanding that each institution can vary in the patient groups cared for, settings and the types of care provided. </w:t>
      </w:r>
    </w:p>
    <w:p w14:paraId="1038B025" w14:textId="77777777" w:rsidR="001B2E26" w:rsidRPr="00AA647B" w:rsidRDefault="001B2E26" w:rsidP="001B2E26">
      <w:pPr>
        <w:rPr>
          <w:rFonts w:ascii="Century Gothic" w:hAnsi="Century Gothic" w:cs="Consolas"/>
          <w:b/>
          <w:sz w:val="24"/>
          <w:szCs w:val="24"/>
        </w:rPr>
      </w:pPr>
      <w:r w:rsidRPr="00AA647B">
        <w:rPr>
          <w:rFonts w:ascii="Century Gothic" w:hAnsi="Century Gothic" w:cs="Consolas"/>
          <w:b/>
          <w:sz w:val="24"/>
          <w:szCs w:val="24"/>
        </w:rPr>
        <w:br w:type="page"/>
      </w:r>
    </w:p>
    <w:p w14:paraId="69CA2B65" w14:textId="77777777" w:rsidR="001B2E26" w:rsidRPr="003B760A" w:rsidRDefault="001B2E26" w:rsidP="001B2E26">
      <w:pPr>
        <w:jc w:val="center"/>
        <w:rPr>
          <w:rFonts w:ascii="Century Gothic" w:hAnsi="Century Gothic" w:cs="Consolas"/>
          <w:b/>
          <w:color w:val="00A7E7"/>
          <w:sz w:val="24"/>
          <w:szCs w:val="24"/>
        </w:rPr>
      </w:pPr>
      <w:r w:rsidRPr="003B760A">
        <w:rPr>
          <w:rFonts w:ascii="Century Gothic" w:hAnsi="Century Gothic" w:cs="Consolas"/>
          <w:color w:val="00A7E7"/>
          <w:sz w:val="52"/>
          <w:szCs w:val="24"/>
        </w:rPr>
        <w:lastRenderedPageBreak/>
        <w:t>Contents</w:t>
      </w:r>
    </w:p>
    <w:p w14:paraId="0BEFA520" w14:textId="77777777" w:rsidR="001B2E26" w:rsidRPr="003B760A" w:rsidRDefault="001B2E26" w:rsidP="001B2E26">
      <w:pPr>
        <w:jc w:val="both"/>
        <w:rPr>
          <w:rFonts w:ascii="Century Gothic" w:hAnsi="Century Gothic" w:cs="Consolas"/>
          <w:b/>
          <w:color w:val="00A7E7"/>
          <w:sz w:val="24"/>
          <w:szCs w:val="24"/>
        </w:rPr>
      </w:pPr>
      <w:r w:rsidRPr="003B760A">
        <w:rPr>
          <w:rFonts w:ascii="Century Gothic" w:hAnsi="Century Gothic" w:cs="Consolas"/>
          <w:b/>
          <w:color w:val="00A7E7"/>
          <w:sz w:val="24"/>
          <w:szCs w:val="24"/>
        </w:rPr>
        <w:t>Tool 1: Part A - Locate</w:t>
      </w:r>
    </w:p>
    <w:p w14:paraId="039E7187" w14:textId="544EBFF8" w:rsidR="001B2E26" w:rsidRPr="00AA647B" w:rsidRDefault="001B2E26" w:rsidP="00902C77">
      <w:pPr>
        <w:jc w:val="both"/>
        <w:rPr>
          <w:rFonts w:ascii="Century Gothic" w:hAnsi="Century Gothic"/>
          <w:sz w:val="24"/>
          <w:szCs w:val="24"/>
        </w:rPr>
      </w:pPr>
      <w:r w:rsidRPr="00AA647B">
        <w:rPr>
          <w:rFonts w:ascii="Century Gothic" w:hAnsi="Century Gothic"/>
          <w:sz w:val="24"/>
          <w:szCs w:val="24"/>
        </w:rPr>
        <w:t>This list of strategies can help locate ultrasound machines in your facility. Locating ultrasound machines can be a challenging task, as they may move around, be uncatalogued, or may be unknown to personnel with responsibility for probe use and reproc</w:t>
      </w:r>
      <w:r w:rsidR="00902C77">
        <w:rPr>
          <w:rFonts w:ascii="Century Gothic" w:hAnsi="Century Gothic"/>
          <w:sz w:val="24"/>
          <w:szCs w:val="24"/>
        </w:rPr>
        <w:t>essing.</w:t>
      </w:r>
    </w:p>
    <w:p w14:paraId="707604A8" w14:textId="77777777" w:rsidR="001B2E26" w:rsidRPr="003B760A" w:rsidRDefault="001B2E26" w:rsidP="001B2E26">
      <w:pPr>
        <w:jc w:val="both"/>
        <w:rPr>
          <w:rFonts w:ascii="Century Gothic" w:hAnsi="Century Gothic" w:cs="Consolas"/>
          <w:b/>
          <w:color w:val="00A7E7"/>
          <w:sz w:val="24"/>
          <w:szCs w:val="24"/>
        </w:rPr>
      </w:pPr>
      <w:r w:rsidRPr="003B760A">
        <w:rPr>
          <w:rFonts w:ascii="Century Gothic" w:hAnsi="Century Gothic" w:cs="Consolas"/>
          <w:b/>
          <w:color w:val="00A7E7"/>
          <w:sz w:val="24"/>
          <w:szCs w:val="24"/>
        </w:rPr>
        <w:t>Tool 1: Part B - Profile</w:t>
      </w:r>
    </w:p>
    <w:p w14:paraId="1987323F" w14:textId="729F60B8" w:rsidR="008E5840" w:rsidRPr="00AA647B" w:rsidRDefault="001B2E26" w:rsidP="001B2E26">
      <w:pPr>
        <w:jc w:val="both"/>
        <w:rPr>
          <w:rFonts w:ascii="Century Gothic" w:hAnsi="Century Gothic"/>
          <w:sz w:val="24"/>
          <w:szCs w:val="24"/>
        </w:rPr>
      </w:pPr>
      <w:r w:rsidRPr="00AA647B">
        <w:rPr>
          <w:rFonts w:ascii="Century Gothic" w:hAnsi="Century Gothic"/>
          <w:sz w:val="24"/>
          <w:szCs w:val="24"/>
        </w:rPr>
        <w:t>After locating ultrasound machines with the Locate tool, this audit tool can be used to observe and assess procedure-specific ultrasound policy and practice. First record the procedure and department, then work through the profile form. The questions guide the user through their policy and an observation checklist is provided to record actual practice. The tool leads the user to an action plan if there is no policy, or if there are discrepancies among policy, practice and guidelines.</w:t>
      </w:r>
    </w:p>
    <w:p w14:paraId="0BF1AFF7" w14:textId="674E57C5" w:rsidR="001B2E26" w:rsidRPr="003B760A" w:rsidRDefault="008E5840" w:rsidP="001B2E26">
      <w:pPr>
        <w:jc w:val="both"/>
        <w:rPr>
          <w:rFonts w:ascii="Century Gothic" w:hAnsi="Century Gothic" w:cs="Consolas"/>
          <w:b/>
          <w:color w:val="00A7E7"/>
          <w:sz w:val="24"/>
          <w:szCs w:val="24"/>
        </w:rPr>
      </w:pPr>
      <w:r>
        <w:rPr>
          <w:rFonts w:ascii="Century Gothic" w:hAnsi="Century Gothic" w:cs="Consolas"/>
          <w:b/>
          <w:color w:val="00A7E7"/>
          <w:sz w:val="24"/>
          <w:szCs w:val="24"/>
        </w:rPr>
        <w:br/>
      </w:r>
      <w:r w:rsidR="001B2E26" w:rsidRPr="003B760A">
        <w:rPr>
          <w:rFonts w:ascii="Century Gothic" w:hAnsi="Century Gothic" w:cs="Consolas"/>
          <w:b/>
          <w:color w:val="00A7E7"/>
          <w:sz w:val="24"/>
          <w:szCs w:val="24"/>
        </w:rPr>
        <w:t>Tool 2: Algorithm</w:t>
      </w:r>
    </w:p>
    <w:p w14:paraId="51F84602" w14:textId="362EF9F7" w:rsidR="001B2E26" w:rsidRPr="00AA647B" w:rsidRDefault="001B2E26" w:rsidP="001B2E26">
      <w:pPr>
        <w:jc w:val="both"/>
        <w:rPr>
          <w:rFonts w:ascii="Century Gothic" w:hAnsi="Century Gothic"/>
          <w:sz w:val="24"/>
          <w:szCs w:val="24"/>
        </w:rPr>
      </w:pPr>
      <w:r w:rsidRPr="00AA647B">
        <w:rPr>
          <w:rFonts w:ascii="Century Gothic" w:hAnsi="Century Gothic"/>
          <w:sz w:val="24"/>
          <w:szCs w:val="24"/>
        </w:rPr>
        <w:t>This tool is organized by department and provides a range of typical procedures that may be encountered in that department. Probe use and reprocessing requirements based on federal guidelines (CDC and FDA) and national standards (AAMI) are presented as a decision</w:t>
      </w:r>
      <w:r>
        <w:rPr>
          <w:rFonts w:ascii="Century Gothic" w:hAnsi="Century Gothic"/>
          <w:sz w:val="24"/>
          <w:szCs w:val="24"/>
        </w:rPr>
        <w:t>-</w:t>
      </w:r>
      <w:r w:rsidRPr="00AA647B">
        <w:rPr>
          <w:rFonts w:ascii="Century Gothic" w:hAnsi="Century Gothic"/>
          <w:sz w:val="24"/>
          <w:szCs w:val="24"/>
        </w:rPr>
        <w:t>making algorithm. The flow chart can be printed out and displayed throughout office and procedure rooms and used as a quick reference chart for healthcare workers to determine whether practice is compliant with available guidelines.</w:t>
      </w:r>
    </w:p>
    <w:p w14:paraId="3CA2AC2B" w14:textId="438A142E" w:rsidR="001B2E26" w:rsidRPr="003B760A" w:rsidRDefault="008E5840" w:rsidP="001B2E26">
      <w:pPr>
        <w:jc w:val="both"/>
        <w:rPr>
          <w:rFonts w:ascii="Century Gothic" w:hAnsi="Century Gothic" w:cs="Consolas"/>
          <w:b/>
          <w:color w:val="00A7E7"/>
          <w:sz w:val="24"/>
          <w:szCs w:val="24"/>
        </w:rPr>
      </w:pPr>
      <w:r>
        <w:rPr>
          <w:rFonts w:ascii="Century Gothic" w:hAnsi="Century Gothic" w:cs="Consolas"/>
          <w:b/>
          <w:color w:val="00A7E7"/>
          <w:sz w:val="24"/>
          <w:szCs w:val="24"/>
        </w:rPr>
        <w:br/>
      </w:r>
      <w:r w:rsidR="001B2E26" w:rsidRPr="003B760A">
        <w:rPr>
          <w:rFonts w:ascii="Century Gothic" w:hAnsi="Century Gothic" w:cs="Consolas"/>
          <w:b/>
          <w:color w:val="00A7E7"/>
          <w:sz w:val="24"/>
          <w:szCs w:val="24"/>
        </w:rPr>
        <w:t>Tool 3: Example Risk Assessment</w:t>
      </w:r>
    </w:p>
    <w:p w14:paraId="56FD8B48" w14:textId="05EFDA04" w:rsidR="001B2E26" w:rsidRPr="008E5840" w:rsidRDefault="001B2E26" w:rsidP="008E5840">
      <w:pPr>
        <w:jc w:val="both"/>
        <w:rPr>
          <w:rFonts w:ascii="Century Gothic" w:hAnsi="Century Gothic"/>
          <w:sz w:val="24"/>
          <w:szCs w:val="24"/>
        </w:rPr>
      </w:pPr>
      <w:r w:rsidRPr="00AA647B">
        <w:rPr>
          <w:rFonts w:ascii="Century Gothic" w:hAnsi="Century Gothic"/>
          <w:sz w:val="24"/>
          <w:szCs w:val="24"/>
        </w:rPr>
        <w:t>This tool contains four editable templates designed to guide the assessment of potential hazards that may be encountered during the use and reprocessing (cleaning, disinfection, storage) of ultrasound probes. A sample risk matrix is provided with further instructions for completion.  A facility should aim to mitigate all significant harm to the lowest risk rating. If that is not possible, the existing workflow and/or products should be reconsidered.</w:t>
      </w:r>
    </w:p>
    <w:p w14:paraId="255EF150" w14:textId="453F3AEB" w:rsidR="001B2E26" w:rsidRPr="003B760A" w:rsidRDefault="001B2E26" w:rsidP="001B2E26">
      <w:pPr>
        <w:rPr>
          <w:rFonts w:ascii="Century Gothic" w:hAnsi="Century Gothic" w:cs="Consolas"/>
          <w:b/>
          <w:color w:val="00A7E7"/>
          <w:sz w:val="24"/>
          <w:szCs w:val="24"/>
        </w:rPr>
      </w:pPr>
      <w:r w:rsidRPr="003B760A">
        <w:rPr>
          <w:rFonts w:ascii="Century Gothic" w:hAnsi="Century Gothic" w:cs="Consolas"/>
          <w:b/>
          <w:color w:val="00A7E7"/>
          <w:sz w:val="24"/>
          <w:szCs w:val="24"/>
        </w:rPr>
        <w:lastRenderedPageBreak/>
        <w:t>Tool 4: Policy Development Framework</w:t>
      </w:r>
    </w:p>
    <w:p w14:paraId="465C4EC6" w14:textId="77777777" w:rsidR="001B2E26" w:rsidRPr="00AA647B" w:rsidRDefault="001B2E26" w:rsidP="001B2E26">
      <w:pPr>
        <w:spacing w:after="0"/>
        <w:jc w:val="both"/>
        <w:rPr>
          <w:rFonts w:ascii="Century Gothic" w:hAnsi="Century Gothic"/>
          <w:sz w:val="24"/>
          <w:szCs w:val="24"/>
        </w:rPr>
      </w:pPr>
      <w:r w:rsidRPr="00AA647B">
        <w:rPr>
          <w:rFonts w:ascii="Century Gothic" w:hAnsi="Century Gothic"/>
          <w:sz w:val="24"/>
          <w:szCs w:val="24"/>
        </w:rPr>
        <w:t>This tool is a policy development framework designed to help develop infection prevention policies for all settings where ultrasound technology is used and probes are reprocessed. It can be used to develop a universal hospital policy or a department</w:t>
      </w:r>
      <w:r>
        <w:rPr>
          <w:rFonts w:ascii="Century Gothic" w:hAnsi="Century Gothic"/>
          <w:sz w:val="24"/>
          <w:szCs w:val="24"/>
        </w:rPr>
        <w:t>-</w:t>
      </w:r>
      <w:r w:rsidRPr="00AA647B">
        <w:rPr>
          <w:rFonts w:ascii="Century Gothic" w:hAnsi="Century Gothic"/>
          <w:sz w:val="24"/>
          <w:szCs w:val="24"/>
        </w:rPr>
        <w:t>specific policy and has been developed based on major guidelines, standards and evidence</w:t>
      </w:r>
      <w:r>
        <w:rPr>
          <w:rFonts w:ascii="Century Gothic" w:hAnsi="Century Gothic"/>
          <w:sz w:val="24"/>
          <w:szCs w:val="24"/>
        </w:rPr>
        <w:t>-</w:t>
      </w:r>
      <w:r w:rsidRPr="00AA647B">
        <w:rPr>
          <w:rFonts w:ascii="Century Gothic" w:hAnsi="Century Gothic"/>
          <w:sz w:val="24"/>
          <w:szCs w:val="24"/>
        </w:rPr>
        <w:t>based scientific literature.</w:t>
      </w:r>
    </w:p>
    <w:p w14:paraId="131964C7" w14:textId="503BD1E7" w:rsidR="001B2E26" w:rsidRDefault="001B2E26" w:rsidP="001B2E26">
      <w:pPr>
        <w:spacing w:after="0"/>
        <w:jc w:val="both"/>
        <w:rPr>
          <w:rFonts w:ascii="Century Gothic" w:eastAsiaTheme="minorEastAsia" w:hAnsi="Century Gothic" w:cs="Consolas"/>
          <w:b/>
          <w:bCs/>
          <w:color w:val="0C539C"/>
          <w:kern w:val="24"/>
          <w:sz w:val="24"/>
          <w:szCs w:val="24"/>
        </w:rPr>
      </w:pPr>
    </w:p>
    <w:p w14:paraId="21F059D2" w14:textId="77777777" w:rsidR="001B2E26" w:rsidRPr="00AA647B" w:rsidRDefault="001B2E26" w:rsidP="001B2E26">
      <w:pPr>
        <w:spacing w:after="0"/>
        <w:jc w:val="both"/>
        <w:rPr>
          <w:rFonts w:ascii="Century Gothic" w:eastAsiaTheme="minorEastAsia" w:hAnsi="Century Gothic" w:cs="Consolas"/>
          <w:b/>
          <w:bCs/>
          <w:color w:val="0C539C"/>
          <w:kern w:val="24"/>
          <w:sz w:val="24"/>
          <w:szCs w:val="24"/>
        </w:rPr>
      </w:pPr>
    </w:p>
    <w:p w14:paraId="5CE8E314" w14:textId="77777777" w:rsidR="001B2E26" w:rsidRPr="003B760A" w:rsidRDefault="001B2E26" w:rsidP="001B2E26">
      <w:pPr>
        <w:spacing w:after="0"/>
        <w:jc w:val="both"/>
        <w:rPr>
          <w:rFonts w:ascii="Century Gothic" w:hAnsi="Century Gothic"/>
          <w:color w:val="00A7E7"/>
          <w:sz w:val="24"/>
          <w:szCs w:val="24"/>
        </w:rPr>
      </w:pPr>
      <w:r w:rsidRPr="003B760A">
        <w:rPr>
          <w:rFonts w:ascii="Century Gothic" w:eastAsiaTheme="minorEastAsia" w:hAnsi="Century Gothic" w:cs="Consolas"/>
          <w:b/>
          <w:bCs/>
          <w:color w:val="00A7E7"/>
          <w:kern w:val="24"/>
          <w:sz w:val="24"/>
          <w:szCs w:val="24"/>
        </w:rPr>
        <w:t>Funding</w:t>
      </w:r>
    </w:p>
    <w:p w14:paraId="6D5C4DEE" w14:textId="77777777" w:rsidR="001B2E26" w:rsidRPr="00AA647B" w:rsidRDefault="001B2E26" w:rsidP="001B2E26">
      <w:pPr>
        <w:spacing w:after="0" w:line="240" w:lineRule="auto"/>
        <w:jc w:val="both"/>
        <w:rPr>
          <w:rFonts w:ascii="Century Gothic" w:eastAsiaTheme="minorEastAsia" w:hAnsi="Century Gothic" w:cs="Consolas"/>
          <w:b/>
          <w:bCs/>
          <w:kern w:val="24"/>
          <w:sz w:val="24"/>
          <w:szCs w:val="24"/>
        </w:rPr>
      </w:pPr>
    </w:p>
    <w:p w14:paraId="0926913C" w14:textId="77777777" w:rsidR="001B2E26" w:rsidRPr="00AA647B" w:rsidRDefault="001B2E26" w:rsidP="001B2E26">
      <w:pPr>
        <w:spacing w:after="0"/>
        <w:jc w:val="both"/>
        <w:rPr>
          <w:rFonts w:ascii="Century Gothic" w:hAnsi="Century Gothic"/>
          <w:sz w:val="24"/>
          <w:szCs w:val="24"/>
        </w:rPr>
      </w:pPr>
      <w:r w:rsidRPr="00AA647B">
        <w:rPr>
          <w:rFonts w:ascii="Century Gothic" w:hAnsi="Century Gothic"/>
          <w:sz w:val="24"/>
          <w:szCs w:val="24"/>
        </w:rPr>
        <w:t>The development of this toolkit has been supported by Nanosonics Ltd. Nanosonics Ltd strives to improve the safety of patients, clinics, their staff and the environment by transforming the way infection prevention practices are understood and conducted and introducing innovative technologies that deliver improved standards of care.</w:t>
      </w:r>
    </w:p>
    <w:p w14:paraId="279E6252" w14:textId="70DAFC89" w:rsidR="001B2E26" w:rsidRPr="00AA647B" w:rsidRDefault="008E5840" w:rsidP="001B2E26">
      <w:pPr>
        <w:spacing w:after="0" w:line="240" w:lineRule="auto"/>
        <w:jc w:val="both"/>
        <w:rPr>
          <w:rFonts w:ascii="Century Gothic" w:eastAsia="Times New Roman" w:hAnsi="Century Gothic" w:cs="Times New Roman"/>
          <w:b/>
          <w:bCs/>
          <w:iCs/>
          <w:color w:val="000000"/>
          <w:kern w:val="24"/>
          <w:sz w:val="24"/>
          <w:szCs w:val="24"/>
          <w:lang w:val="en-AU"/>
        </w:rPr>
      </w:pPr>
      <w:r>
        <w:rPr>
          <w:rFonts w:ascii="Century Gothic" w:eastAsia="Times New Roman" w:hAnsi="Century Gothic" w:cs="Times New Roman"/>
          <w:b/>
          <w:bCs/>
          <w:iCs/>
          <w:color w:val="000000"/>
          <w:kern w:val="24"/>
          <w:sz w:val="24"/>
          <w:szCs w:val="24"/>
          <w:lang w:val="en-AU"/>
        </w:rPr>
        <w:br/>
      </w:r>
    </w:p>
    <w:p w14:paraId="022EAE1F" w14:textId="77777777" w:rsidR="001B2E26" w:rsidRPr="003B760A" w:rsidRDefault="001B2E26" w:rsidP="001B2E26">
      <w:pPr>
        <w:spacing w:after="0" w:line="240" w:lineRule="auto"/>
        <w:jc w:val="both"/>
        <w:rPr>
          <w:rFonts w:ascii="Century Gothic" w:eastAsiaTheme="minorEastAsia" w:hAnsi="Century Gothic" w:cs="Consolas"/>
          <w:b/>
          <w:bCs/>
          <w:color w:val="00A7E7"/>
          <w:kern w:val="24"/>
          <w:sz w:val="24"/>
          <w:szCs w:val="24"/>
        </w:rPr>
      </w:pPr>
      <w:r w:rsidRPr="003B760A">
        <w:rPr>
          <w:rFonts w:ascii="Century Gothic" w:eastAsiaTheme="minorEastAsia" w:hAnsi="Century Gothic" w:cs="Consolas"/>
          <w:b/>
          <w:bCs/>
          <w:color w:val="00A7E7"/>
          <w:kern w:val="24"/>
          <w:sz w:val="24"/>
          <w:szCs w:val="24"/>
        </w:rPr>
        <w:t>Important Note</w:t>
      </w:r>
    </w:p>
    <w:p w14:paraId="53DA95EE" w14:textId="77777777" w:rsidR="001B2E26" w:rsidRPr="00AA647B" w:rsidRDefault="001B2E26" w:rsidP="001B2E26">
      <w:pPr>
        <w:spacing w:after="0" w:line="240" w:lineRule="auto"/>
        <w:jc w:val="both"/>
        <w:rPr>
          <w:rFonts w:ascii="Century Gothic" w:eastAsiaTheme="minorEastAsia" w:hAnsi="Century Gothic" w:cs="Consolas"/>
          <w:b/>
          <w:bCs/>
          <w:kern w:val="24"/>
          <w:sz w:val="24"/>
          <w:szCs w:val="24"/>
        </w:rPr>
      </w:pPr>
    </w:p>
    <w:p w14:paraId="03B6ADEC" w14:textId="77777777" w:rsidR="001B2E26" w:rsidRPr="00AA647B" w:rsidRDefault="001B2E26" w:rsidP="001B2E26">
      <w:pPr>
        <w:spacing w:after="0"/>
        <w:jc w:val="both"/>
        <w:rPr>
          <w:rFonts w:ascii="Century Gothic" w:hAnsi="Century Gothic"/>
          <w:sz w:val="24"/>
          <w:szCs w:val="24"/>
        </w:rPr>
      </w:pPr>
      <w:r w:rsidRPr="00AA647B">
        <w:rPr>
          <w:rFonts w:ascii="Century Gothic" w:hAnsi="Century Gothic"/>
          <w:sz w:val="24"/>
          <w:szCs w:val="24"/>
        </w:rPr>
        <w:t>This toolkit contains general guidance. Consider this guidance in light of the user’s own professional advice and specific regulations, guidelines, policies and procedures of each region, institution and department. This tool does not replace manufacturer instructions for use (IFUs)</w:t>
      </w:r>
      <w:r>
        <w:rPr>
          <w:rFonts w:ascii="Century Gothic" w:hAnsi="Century Gothic"/>
          <w:sz w:val="24"/>
          <w:szCs w:val="24"/>
        </w:rPr>
        <w:t xml:space="preserve">, </w:t>
      </w:r>
      <w:r w:rsidRPr="00AA647B">
        <w:rPr>
          <w:rFonts w:ascii="Century Gothic" w:hAnsi="Century Gothic"/>
          <w:sz w:val="24"/>
          <w:szCs w:val="24"/>
        </w:rPr>
        <w:t>nor does it replace institutional policy/workflows, but it is intended to be used in conjunction with them. This Important Note applies to all parts of this toolkit.</w:t>
      </w:r>
    </w:p>
    <w:p w14:paraId="123AF4C7" w14:textId="1C170F1B" w:rsidR="001B2E26" w:rsidRPr="00AA647B" w:rsidRDefault="008E5840" w:rsidP="001B2E26">
      <w:pPr>
        <w:spacing w:after="0" w:line="240" w:lineRule="auto"/>
        <w:jc w:val="both"/>
        <w:rPr>
          <w:rFonts w:ascii="Century Gothic" w:eastAsiaTheme="minorEastAsia" w:hAnsi="Century Gothic" w:cs="Times New Roman"/>
          <w:sz w:val="24"/>
          <w:szCs w:val="24"/>
        </w:rPr>
      </w:pPr>
      <w:r>
        <w:rPr>
          <w:rFonts w:ascii="Century Gothic" w:eastAsiaTheme="minorEastAsia" w:hAnsi="Century Gothic" w:cs="Times New Roman"/>
          <w:sz w:val="24"/>
          <w:szCs w:val="24"/>
        </w:rPr>
        <w:br/>
      </w:r>
    </w:p>
    <w:p w14:paraId="7ACD390D" w14:textId="77777777" w:rsidR="001B2E26" w:rsidRPr="003B760A" w:rsidRDefault="001B2E26" w:rsidP="001B2E26">
      <w:pPr>
        <w:spacing w:after="0" w:line="240" w:lineRule="auto"/>
        <w:jc w:val="both"/>
        <w:rPr>
          <w:rFonts w:ascii="Century Gothic" w:eastAsiaTheme="minorEastAsia" w:hAnsi="Century Gothic" w:cs="Consolas"/>
          <w:b/>
          <w:bCs/>
          <w:color w:val="00A7E7"/>
          <w:kern w:val="24"/>
          <w:sz w:val="24"/>
          <w:szCs w:val="24"/>
        </w:rPr>
      </w:pPr>
      <w:r w:rsidRPr="003B760A">
        <w:rPr>
          <w:rFonts w:ascii="Century Gothic" w:eastAsiaTheme="minorEastAsia" w:hAnsi="Century Gothic" w:cs="Consolas"/>
          <w:b/>
          <w:bCs/>
          <w:color w:val="00A7E7"/>
          <w:kern w:val="24"/>
          <w:sz w:val="24"/>
          <w:szCs w:val="24"/>
        </w:rPr>
        <w:t>Disclaimer</w:t>
      </w:r>
    </w:p>
    <w:p w14:paraId="2E12A1DB" w14:textId="77777777" w:rsidR="001B2E26" w:rsidRPr="00AA647B" w:rsidRDefault="001B2E26" w:rsidP="001B2E26">
      <w:pPr>
        <w:spacing w:after="0" w:line="240" w:lineRule="auto"/>
        <w:jc w:val="both"/>
        <w:rPr>
          <w:rFonts w:ascii="Century Gothic" w:eastAsiaTheme="minorEastAsia" w:hAnsi="Century Gothic" w:cs="Consolas"/>
          <w:b/>
          <w:bCs/>
          <w:kern w:val="24"/>
          <w:sz w:val="24"/>
          <w:szCs w:val="24"/>
        </w:rPr>
      </w:pPr>
    </w:p>
    <w:p w14:paraId="4C781E20" w14:textId="77777777" w:rsidR="00357496" w:rsidRDefault="001B2E26" w:rsidP="001B2E26">
      <w:pPr>
        <w:spacing w:after="0"/>
        <w:jc w:val="both"/>
        <w:rPr>
          <w:rFonts w:ascii="Century Gothic" w:hAnsi="Century Gothic"/>
          <w:sz w:val="24"/>
          <w:szCs w:val="24"/>
        </w:rPr>
        <w:sectPr w:rsidR="00357496" w:rsidSect="00033CC0">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AA647B">
        <w:rPr>
          <w:rFonts w:ascii="Century Gothic" w:hAnsi="Century Gothic"/>
          <w:sz w:val="24"/>
          <w:szCs w:val="24"/>
        </w:rPr>
        <w:t>Nanosonics will not accept responsibility of any kind for reliance on this tool or related materials and opinions</w:t>
      </w:r>
      <w:r>
        <w:rPr>
          <w:rFonts w:ascii="Century Gothic" w:hAnsi="Century Gothic"/>
          <w:sz w:val="24"/>
          <w:szCs w:val="24"/>
        </w:rPr>
        <w:t>,</w:t>
      </w:r>
      <w:r w:rsidRPr="00AA647B">
        <w:rPr>
          <w:rFonts w:ascii="Century Gothic" w:hAnsi="Century Gothic"/>
          <w:sz w:val="24"/>
          <w:szCs w:val="24"/>
        </w:rPr>
        <w:t xml:space="preserve"> including any death or injury to persons.  The information, materials and opinions contained here are for general information purposes only, are not intended to constitute legal or other professional advice and should not be relied on or treated as a substitute for specific advice relevant to particular circumstances.  We make no warranties, representations or undertakings about the content (including, without limitation, the quality, accuracy, completeness or fitness for any particular purpose of such content). This Disclaimer applies to all parts of this tool and every department.</w:t>
      </w:r>
    </w:p>
    <w:p w14:paraId="1BD82B66" w14:textId="4438A754" w:rsidR="001B2E26" w:rsidRPr="00AA647B" w:rsidRDefault="001B2E26" w:rsidP="001B2E26">
      <w:pPr>
        <w:spacing w:after="0"/>
        <w:jc w:val="both"/>
        <w:rPr>
          <w:rFonts w:ascii="Century Gothic" w:hAnsi="Century Gothic"/>
          <w:sz w:val="24"/>
          <w:szCs w:val="24"/>
        </w:rPr>
        <w:sectPr w:rsidR="001B2E26" w:rsidRPr="00AA647B" w:rsidSect="00357496">
          <w:type w:val="continuous"/>
          <w:pgSz w:w="12240" w:h="15840" w:code="1"/>
          <w:pgMar w:top="1440" w:right="1440" w:bottom="1440" w:left="1440" w:header="720" w:footer="720" w:gutter="0"/>
          <w:cols w:space="720"/>
          <w:formProt w:val="0"/>
          <w:titlePg/>
          <w:docGrid w:linePitch="360"/>
        </w:sectPr>
      </w:pPr>
    </w:p>
    <w:p w14:paraId="3EAC2265" w14:textId="2163D07C" w:rsidR="001B2E26" w:rsidRDefault="00660B78">
      <w:r>
        <w:lastRenderedPageBreak/>
        <w:t xml:space="preserve"> </w:t>
      </w:r>
    </w:p>
    <w:p w14:paraId="10D5AAE7"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4D8E3BC0"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13E373D7"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7AAD9CFD" w14:textId="7210615D"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r>
        <w:rPr>
          <w:rFonts w:ascii="Century Gothic" w:hAnsi="Century Gothic" w:cs="Consolas"/>
          <w:b/>
          <w:bCs/>
          <w:noProof/>
          <w:color w:val="214589"/>
          <w:kern w:val="24"/>
          <w:sz w:val="60"/>
          <w:szCs w:val="60"/>
          <w:lang w:val="en-AU" w:eastAsia="en-AU"/>
        </w:rPr>
        <w:drawing>
          <wp:inline distT="0" distB="0" distL="0" distR="0" wp14:anchorId="79743261" wp14:editId="79BDAE58">
            <wp:extent cx="416560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6D772BE7"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0A6A5654"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088C7F29"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6FA5CB34"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0D1EE8A5" w14:textId="77777777" w:rsidR="001B2E26" w:rsidRDefault="001B2E26" w:rsidP="001B2E26">
      <w:pPr>
        <w:tabs>
          <w:tab w:val="center" w:pos="4680"/>
          <w:tab w:val="right" w:pos="9360"/>
        </w:tabs>
        <w:spacing w:after="0" w:line="240" w:lineRule="auto"/>
        <w:jc w:val="center"/>
        <w:rPr>
          <w:rFonts w:ascii="Century Gothic" w:hAnsi="Century Gothic" w:cs="Consolas"/>
          <w:color w:val="00A7E7"/>
          <w:kern w:val="24"/>
          <w:sz w:val="60"/>
          <w:szCs w:val="60"/>
        </w:rPr>
      </w:pPr>
    </w:p>
    <w:p w14:paraId="2EE16F17" w14:textId="0F849032" w:rsidR="001B2E26" w:rsidRDefault="001B2E26" w:rsidP="001B2E26">
      <w:pPr>
        <w:tabs>
          <w:tab w:val="center" w:pos="4680"/>
          <w:tab w:val="right" w:pos="9360"/>
        </w:tabs>
        <w:spacing w:after="0" w:line="240" w:lineRule="auto"/>
        <w:jc w:val="center"/>
        <w:rPr>
          <w:rFonts w:ascii="Century Gothic" w:hAnsi="Century Gothic"/>
          <w:color w:val="00A7E7"/>
          <w:kern w:val="24"/>
          <w:sz w:val="64"/>
          <w:szCs w:val="64"/>
        </w:rPr>
      </w:pPr>
      <w:bookmarkStart w:id="0" w:name="_GoBack"/>
      <w:bookmarkEnd w:id="0"/>
      <w:r w:rsidRPr="003B760A">
        <w:rPr>
          <w:rFonts w:ascii="Century Gothic" w:hAnsi="Century Gothic" w:cs="Consolas"/>
          <w:color w:val="00A7E7"/>
          <w:kern w:val="24"/>
          <w:sz w:val="60"/>
          <w:szCs w:val="60"/>
        </w:rPr>
        <w:t>Infection Prevention Toolkit</w:t>
      </w:r>
      <w:r w:rsidRPr="003B760A">
        <w:rPr>
          <w:rFonts w:ascii="Century Gothic" w:hAnsi="Century Gothic" w:cs="Consolas"/>
          <w:color w:val="0C539C"/>
          <w:kern w:val="24"/>
          <w:sz w:val="60"/>
          <w:szCs w:val="60"/>
        </w:rPr>
        <w:br/>
      </w:r>
      <w:r w:rsidRPr="003B760A">
        <w:rPr>
          <w:rFonts w:ascii="Century Gothic" w:eastAsiaTheme="majorEastAsia" w:hAnsi="Century Gothic" w:cstheme="majorBidi"/>
          <w:color w:val="B34B8B"/>
          <w:kern w:val="24"/>
          <w:sz w:val="120"/>
          <w:szCs w:val="120"/>
        </w:rPr>
        <w:t>Tool 1</w:t>
      </w:r>
      <w:r w:rsidRPr="003B760A">
        <w:rPr>
          <w:rFonts w:ascii="Century Gothic" w:hAnsi="Century Gothic" w:cs="Consolas"/>
          <w:color w:val="214589"/>
          <w:kern w:val="24"/>
          <w:sz w:val="60"/>
          <w:szCs w:val="60"/>
        </w:rPr>
        <w:br/>
      </w:r>
      <w:r w:rsidRPr="003B760A">
        <w:rPr>
          <w:rFonts w:ascii="Century Gothic" w:hAnsi="Century Gothic"/>
          <w:color w:val="00A7E7"/>
          <w:kern w:val="24"/>
          <w:sz w:val="64"/>
          <w:szCs w:val="64"/>
        </w:rPr>
        <w:t xml:space="preserve">Locate </w:t>
      </w:r>
      <w:r>
        <w:rPr>
          <w:rFonts w:ascii="Century Gothic" w:hAnsi="Century Gothic"/>
          <w:color w:val="00A7E7"/>
          <w:kern w:val="24"/>
          <w:sz w:val="64"/>
          <w:szCs w:val="64"/>
        </w:rPr>
        <w:t>and</w:t>
      </w:r>
      <w:r w:rsidRPr="003B760A">
        <w:rPr>
          <w:rFonts w:ascii="Century Gothic" w:hAnsi="Century Gothic"/>
          <w:color w:val="00A7E7"/>
          <w:kern w:val="24"/>
          <w:sz w:val="64"/>
          <w:szCs w:val="64"/>
        </w:rPr>
        <w:t xml:space="preserve"> Profil</w:t>
      </w:r>
      <w:r>
        <w:rPr>
          <w:rFonts w:ascii="Century Gothic" w:hAnsi="Century Gothic"/>
          <w:color w:val="00A7E7"/>
          <w:kern w:val="24"/>
          <w:sz w:val="64"/>
          <w:szCs w:val="64"/>
        </w:rPr>
        <w:t>e</w:t>
      </w:r>
    </w:p>
    <w:p w14:paraId="07F9AA01" w14:textId="3B75BD06" w:rsidR="001B2E26" w:rsidRPr="001B2E26" w:rsidRDefault="001B2E26" w:rsidP="001B2E26">
      <w:pPr>
        <w:tabs>
          <w:tab w:val="center" w:pos="4680"/>
          <w:tab w:val="right" w:pos="9360"/>
        </w:tabs>
        <w:spacing w:after="0" w:line="240" w:lineRule="auto"/>
        <w:rPr>
          <w:rFonts w:ascii="Century Gothic" w:hAnsi="Century Gothic"/>
          <w:color w:val="00A7E7"/>
          <w:kern w:val="24"/>
          <w:sz w:val="64"/>
          <w:szCs w:val="64"/>
        </w:rPr>
      </w:pPr>
      <w:r w:rsidRPr="003B760A">
        <w:rPr>
          <w:rFonts w:ascii="Century Gothic" w:eastAsia="+mn-ea" w:hAnsi="Century Gothic" w:cs="+mn-cs"/>
          <w:bCs/>
          <w:color w:val="00A7E7"/>
          <w:kern w:val="24"/>
          <w:sz w:val="44"/>
          <w:szCs w:val="56"/>
          <w:lang w:eastAsia="en-AU"/>
        </w:rPr>
        <w:lastRenderedPageBreak/>
        <w:t xml:space="preserve">Instructions </w:t>
      </w:r>
    </w:p>
    <w:p w14:paraId="0FFBAFD9" w14:textId="77777777" w:rsidR="001B2E26" w:rsidRPr="003B760A" w:rsidRDefault="001B2E26" w:rsidP="001B2E26">
      <w:pPr>
        <w:spacing w:after="0" w:line="240" w:lineRule="auto"/>
        <w:rPr>
          <w:rFonts w:ascii="Century Gothic" w:eastAsia="+mn-ea" w:hAnsi="Century Gothic" w:cs="+mn-cs"/>
          <w:bCs/>
          <w:color w:val="00A7E7"/>
          <w:kern w:val="24"/>
          <w:sz w:val="56"/>
          <w:szCs w:val="56"/>
          <w:lang w:eastAsia="en-AU"/>
        </w:rPr>
      </w:pPr>
    </w:p>
    <w:p w14:paraId="4595D63F" w14:textId="77777777" w:rsidR="001B2E26" w:rsidRPr="003B760A" w:rsidRDefault="001B2E26" w:rsidP="001B2E26">
      <w:pPr>
        <w:spacing w:after="0" w:line="240" w:lineRule="auto"/>
        <w:rPr>
          <w:rFonts w:ascii="Century Gothic" w:eastAsia="+mn-ea" w:hAnsi="Century Gothic" w:cs="+mn-cs"/>
          <w:b/>
          <w:i/>
          <w:color w:val="00A7E7"/>
          <w:kern w:val="24"/>
          <w:sz w:val="28"/>
          <w:szCs w:val="32"/>
          <w:lang w:eastAsia="en-AU"/>
        </w:rPr>
      </w:pPr>
      <w:r w:rsidRPr="003B760A">
        <w:rPr>
          <w:rFonts w:ascii="Century Gothic" w:eastAsia="+mn-ea" w:hAnsi="Century Gothic" w:cs="+mn-cs"/>
          <w:bCs/>
          <w:color w:val="00A7E7"/>
          <w:kern w:val="24"/>
          <w:sz w:val="44"/>
          <w:szCs w:val="56"/>
          <w:lang w:eastAsia="en-AU"/>
        </w:rPr>
        <w:t>Tool 1: Part A – Locate</w:t>
      </w:r>
      <w:r w:rsidRPr="003B760A">
        <w:rPr>
          <w:rFonts w:ascii="Century Gothic" w:eastAsia="Times New Roman" w:hAnsi="Century Gothic" w:cs="Times New Roman"/>
          <w:color w:val="00A7E7"/>
          <w:sz w:val="44"/>
          <w:szCs w:val="56"/>
          <w:lang w:eastAsia="en-AU"/>
        </w:rPr>
        <w:t xml:space="preserve">  </w:t>
      </w:r>
      <w:r w:rsidRPr="003B760A">
        <w:rPr>
          <w:rFonts w:ascii="Century Gothic" w:eastAsia="+mn-ea" w:hAnsi="Century Gothic" w:cs="+mn-cs"/>
          <w:bCs/>
          <w:color w:val="00A7E7"/>
          <w:kern w:val="24"/>
          <w:sz w:val="52"/>
          <w:szCs w:val="56"/>
          <w:lang w:eastAsia="en-AU"/>
        </w:rPr>
        <w:br/>
      </w:r>
      <w:r w:rsidRPr="003B760A">
        <w:rPr>
          <w:rFonts w:ascii="Century Gothic" w:eastAsia="+mn-ea" w:hAnsi="Century Gothic" w:cs="+mn-cs"/>
          <w:b/>
          <w:i/>
          <w:color w:val="00A7E7"/>
          <w:kern w:val="24"/>
          <w:sz w:val="24"/>
          <w:szCs w:val="32"/>
          <w:lang w:eastAsia="en-AU"/>
        </w:rPr>
        <w:t>Locate the departments/clinics using ultrasound at your facility.</w:t>
      </w:r>
    </w:p>
    <w:p w14:paraId="2049147E" w14:textId="77777777" w:rsidR="001B2E26" w:rsidRPr="00AA647B" w:rsidRDefault="001B2E26" w:rsidP="001B2E26">
      <w:pPr>
        <w:spacing w:after="0" w:line="240" w:lineRule="auto"/>
        <w:rPr>
          <w:rFonts w:ascii="Century Gothic" w:eastAsia="MS Mincho" w:hAnsi="Century Gothic" w:cs="Times New Roman"/>
          <w:szCs w:val="24"/>
        </w:rPr>
      </w:pPr>
    </w:p>
    <w:p w14:paraId="2EA3E4F0" w14:textId="523B671B" w:rsidR="001B2E26" w:rsidRPr="00AA647B" w:rsidRDefault="001B2E26" w:rsidP="001B2E26">
      <w:pPr>
        <w:spacing w:after="0" w:line="240" w:lineRule="auto"/>
        <w:rPr>
          <w:rFonts w:ascii="Century Gothic" w:eastAsia="+mn-ea" w:hAnsi="Century Gothic" w:cs="+mn-cs"/>
          <w:bCs/>
          <w:color w:val="1F3371"/>
          <w:kern w:val="24"/>
          <w:sz w:val="72"/>
          <w:szCs w:val="56"/>
          <w:lang w:eastAsia="en-AU"/>
        </w:rPr>
      </w:pPr>
      <w:r w:rsidRPr="00AA647B">
        <w:rPr>
          <w:rFonts w:ascii="Century Gothic" w:eastAsia="MS Mincho" w:hAnsi="Century Gothic" w:cs="Times New Roman"/>
          <w:sz w:val="28"/>
          <w:szCs w:val="24"/>
        </w:rPr>
        <w:t xml:space="preserve">The options listed can be used to determine where ultrasound is used in order to facilitate follow up on any issues related to infection prevention. Different options below may be relevant based on the type and size of your facility. More than one strategy may be used in attempting to locate ultrasound machines. Strategies are ranked in order of assumed effectiveness. </w:t>
      </w:r>
    </w:p>
    <w:p w14:paraId="6092A9BF" w14:textId="77777777" w:rsidR="001B2E26" w:rsidRPr="00AA647B" w:rsidRDefault="001B2E26" w:rsidP="001B2E26">
      <w:pPr>
        <w:spacing w:after="0" w:line="240" w:lineRule="auto"/>
        <w:rPr>
          <w:rFonts w:ascii="Century Gothic" w:eastAsia="+mn-ea" w:hAnsi="Century Gothic" w:cs="+mn-cs"/>
          <w:bCs/>
          <w:color w:val="1F3371"/>
          <w:kern w:val="24"/>
          <w:sz w:val="44"/>
          <w:szCs w:val="56"/>
          <w:lang w:eastAsia="en-AU"/>
        </w:rPr>
      </w:pPr>
    </w:p>
    <w:p w14:paraId="7586E710" w14:textId="77777777" w:rsidR="001B2E26" w:rsidRPr="003B760A" w:rsidRDefault="001B2E26" w:rsidP="001B2E26">
      <w:pPr>
        <w:spacing w:after="0" w:line="240" w:lineRule="auto"/>
        <w:rPr>
          <w:rFonts w:ascii="Century Gothic" w:eastAsia="+mn-ea" w:hAnsi="Century Gothic" w:cs="+mn-cs"/>
          <w:bCs/>
          <w:color w:val="00A7E7"/>
          <w:kern w:val="24"/>
          <w:sz w:val="52"/>
          <w:szCs w:val="56"/>
          <w:lang w:eastAsia="en-AU"/>
        </w:rPr>
      </w:pPr>
      <w:r w:rsidRPr="003B760A">
        <w:rPr>
          <w:rFonts w:ascii="Century Gothic" w:eastAsia="+mn-ea" w:hAnsi="Century Gothic" w:cs="+mn-cs"/>
          <w:bCs/>
          <w:color w:val="00A7E7"/>
          <w:kern w:val="24"/>
          <w:sz w:val="44"/>
          <w:szCs w:val="56"/>
          <w:lang w:eastAsia="en-AU"/>
        </w:rPr>
        <w:t>Tool 1: Part B – Profile</w:t>
      </w:r>
      <w:r w:rsidRPr="003B760A">
        <w:rPr>
          <w:rFonts w:ascii="Century Gothic" w:eastAsia="+mn-ea" w:hAnsi="Century Gothic" w:cs="+mn-cs"/>
          <w:bCs/>
          <w:color w:val="00A7E7"/>
          <w:kern w:val="24"/>
          <w:sz w:val="52"/>
          <w:szCs w:val="56"/>
          <w:lang w:eastAsia="en-AU"/>
        </w:rPr>
        <w:br/>
      </w:r>
      <w:r w:rsidRPr="003B760A">
        <w:rPr>
          <w:rFonts w:ascii="Century Gothic" w:eastAsia="+mn-ea" w:hAnsi="Century Gothic" w:cs="+mn-cs"/>
          <w:b/>
          <w:i/>
          <w:color w:val="00A7E7"/>
          <w:kern w:val="24"/>
          <w:sz w:val="24"/>
          <w:szCs w:val="32"/>
          <w:lang w:eastAsia="en-AU"/>
        </w:rPr>
        <w:t xml:space="preserve">Profile policy and practice for each ultrasound procedure </w:t>
      </w:r>
      <w:r w:rsidRPr="003B760A">
        <w:rPr>
          <w:rFonts w:ascii="Century Gothic" w:eastAsia="+mn-ea" w:hAnsi="Century Gothic" w:cs="+mn-cs"/>
          <w:b/>
          <w:i/>
          <w:color w:val="00A7E7"/>
          <w:kern w:val="24"/>
          <w:sz w:val="24"/>
          <w:szCs w:val="32"/>
          <w:lang w:eastAsia="en-AU"/>
        </w:rPr>
        <w:br/>
        <w:t>at your facility.</w:t>
      </w:r>
    </w:p>
    <w:p w14:paraId="535B597B" w14:textId="77777777" w:rsidR="001B2E26" w:rsidRPr="00AA647B" w:rsidRDefault="001B2E26" w:rsidP="001B2E26">
      <w:pPr>
        <w:spacing w:after="0" w:line="240" w:lineRule="auto"/>
        <w:rPr>
          <w:rFonts w:ascii="Century Gothic" w:eastAsia="MS Mincho" w:hAnsi="Century Gothic" w:cs="Times New Roman"/>
          <w:sz w:val="20"/>
          <w:szCs w:val="24"/>
        </w:rPr>
      </w:pPr>
    </w:p>
    <w:p w14:paraId="7284A982" w14:textId="77777777" w:rsidR="001B2E26" w:rsidRPr="00AA647B" w:rsidRDefault="001B2E26" w:rsidP="001B2E26">
      <w:pPr>
        <w:spacing w:after="0" w:line="240" w:lineRule="auto"/>
        <w:rPr>
          <w:rFonts w:ascii="Century Gothic" w:eastAsia="MS Mincho" w:hAnsi="Century Gothic" w:cs="Times New Roman"/>
          <w:sz w:val="28"/>
          <w:szCs w:val="24"/>
        </w:rPr>
        <w:sectPr w:rsidR="001B2E26" w:rsidRPr="00AA647B" w:rsidSect="00033CC0">
          <w:pgSz w:w="12240" w:h="15840" w:code="1"/>
          <w:pgMar w:top="1440" w:right="1440" w:bottom="1440" w:left="1440" w:header="720" w:footer="720" w:gutter="0"/>
          <w:cols w:space="720"/>
          <w:formProt w:val="0"/>
          <w:titlePg/>
          <w:docGrid w:linePitch="360"/>
        </w:sectPr>
      </w:pPr>
      <w:r w:rsidRPr="00AA647B">
        <w:rPr>
          <w:rFonts w:ascii="Century Gothic" w:eastAsia="MS Mincho" w:hAnsi="Century Gothic" w:cs="Times New Roman"/>
          <w:sz w:val="28"/>
          <w:szCs w:val="24"/>
        </w:rPr>
        <w:t>After locating ultrasound machines with the Locate tool, this audit tool can be used to observe and assess procedure</w:t>
      </w:r>
      <w:r>
        <w:rPr>
          <w:rFonts w:ascii="Century Gothic" w:eastAsia="MS Mincho" w:hAnsi="Century Gothic" w:cs="Times New Roman"/>
          <w:sz w:val="28"/>
          <w:szCs w:val="24"/>
        </w:rPr>
        <w:t>-</w:t>
      </w:r>
      <w:r w:rsidRPr="00AA647B">
        <w:rPr>
          <w:rFonts w:ascii="Century Gothic" w:eastAsia="MS Mincho" w:hAnsi="Century Gothic" w:cs="Times New Roman"/>
          <w:sz w:val="28"/>
          <w:szCs w:val="24"/>
        </w:rPr>
        <w:t>specific ultrasound policy and practice. The page can be printed and ultrasound procedures for each facility area can be used for individual observation sessions. First record the procedure and department, then work through the profile form. The questions guide the user through their policy and an observation checklist is provided to record actual practice. The tool leads the user to an action plan if there is no policy, or if there are discrepancies between policy, practice and guidelin</w:t>
      </w:r>
      <w:r>
        <w:rPr>
          <w:rFonts w:ascii="Century Gothic" w:eastAsia="MS Mincho" w:hAnsi="Century Gothic" w:cs="Times New Roman"/>
          <w:sz w:val="28"/>
          <w:szCs w:val="24"/>
        </w:rPr>
        <w:t>e.</w:t>
      </w:r>
    </w:p>
    <w:p w14:paraId="5AFEDF66" w14:textId="77777777" w:rsidR="001B2E26" w:rsidRPr="003B760A" w:rsidRDefault="001B2E26" w:rsidP="001B2E26">
      <w:pPr>
        <w:spacing w:after="0" w:line="240" w:lineRule="auto"/>
        <w:rPr>
          <w:rFonts w:ascii="Century Gothic" w:eastAsia="Times New Roman" w:hAnsi="Century Gothic" w:cs="Times New Roman"/>
          <w:color w:val="00A7E7"/>
          <w:sz w:val="24"/>
          <w:szCs w:val="24"/>
          <w:lang w:eastAsia="en-AU"/>
        </w:rPr>
      </w:pPr>
      <w:r w:rsidRPr="003B760A">
        <w:rPr>
          <w:rFonts w:ascii="Century Gothic" w:eastAsia="+mn-ea" w:hAnsi="Century Gothic" w:cs="+mn-cs"/>
          <w:bCs/>
          <w:color w:val="00A7E7"/>
          <w:kern w:val="24"/>
          <w:sz w:val="24"/>
          <w:szCs w:val="24"/>
          <w:lang w:eastAsia="en-AU"/>
        </w:rPr>
        <w:lastRenderedPageBreak/>
        <w:t>Tool 1: Part A – Locate</w:t>
      </w:r>
      <w:r w:rsidRPr="003B760A">
        <w:rPr>
          <w:rFonts w:ascii="Century Gothic" w:eastAsia="Times New Roman" w:hAnsi="Century Gothic" w:cs="Times New Roman"/>
          <w:color w:val="00A7E7"/>
          <w:sz w:val="24"/>
          <w:szCs w:val="24"/>
          <w:lang w:eastAsia="en-AU"/>
        </w:rPr>
        <w:t xml:space="preserve"> </w:t>
      </w:r>
    </w:p>
    <w:p w14:paraId="7ECD41EA" w14:textId="5E6BD6EA" w:rsidR="001B2E26" w:rsidRDefault="001B2E26" w:rsidP="001B2E26">
      <w:pPr>
        <w:spacing w:after="0" w:line="240" w:lineRule="auto"/>
        <w:rPr>
          <w:rFonts w:ascii="Century Gothic" w:eastAsia="+mn-ea" w:hAnsi="Century Gothic" w:cs="+mn-cs"/>
          <w:b/>
          <w:i/>
          <w:color w:val="00A7E7"/>
          <w:kern w:val="24"/>
          <w:sz w:val="20"/>
          <w:szCs w:val="20"/>
          <w:lang w:eastAsia="en-AU"/>
        </w:rPr>
      </w:pPr>
      <w:r w:rsidRPr="003B760A">
        <w:rPr>
          <w:rFonts w:ascii="Century Gothic" w:eastAsia="+mn-ea" w:hAnsi="Century Gothic" w:cs="+mn-cs"/>
          <w:b/>
          <w:i/>
          <w:color w:val="00A7E7"/>
          <w:kern w:val="24"/>
          <w:sz w:val="20"/>
          <w:szCs w:val="20"/>
          <w:lang w:eastAsia="en-AU"/>
        </w:rPr>
        <w:t>Locate the departments/clinics using ultrasound at your facility.</w:t>
      </w:r>
    </w:p>
    <w:tbl>
      <w:tblPr>
        <w:tblpPr w:leftFromText="180" w:rightFromText="180" w:vertAnchor="text" w:horzAnchor="margin" w:tblpY="93"/>
        <w:tblW w:w="147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391"/>
        <w:gridCol w:w="3600"/>
        <w:gridCol w:w="4190"/>
        <w:gridCol w:w="4589"/>
      </w:tblGrid>
      <w:tr w:rsidR="001B2E26" w:rsidRPr="00AA647B" w14:paraId="7453B511" w14:textId="77777777" w:rsidTr="00033CC0">
        <w:trPr>
          <w:trHeight w:hRule="exact" w:val="319"/>
        </w:trPr>
        <w:tc>
          <w:tcPr>
            <w:tcW w:w="2391" w:type="dxa"/>
            <w:shd w:val="clear" w:color="auto" w:fill="F5ECF2"/>
            <w:tcMar>
              <w:top w:w="50" w:type="dxa"/>
              <w:left w:w="192" w:type="dxa"/>
              <w:bottom w:w="50" w:type="dxa"/>
              <w:right w:w="192" w:type="dxa"/>
            </w:tcMar>
            <w:vAlign w:val="center"/>
            <w:hideMark/>
          </w:tcPr>
          <w:p w14:paraId="020E7D9A" w14:textId="77777777" w:rsidR="001B2E26" w:rsidRPr="00625350" w:rsidRDefault="001B2E26" w:rsidP="00DE00E2">
            <w:pPr>
              <w:jc w:val="center"/>
              <w:rPr>
                <w:rFonts w:ascii="Century Gothic" w:eastAsiaTheme="minorEastAsia" w:hAnsi="Century Gothic"/>
                <w:b/>
                <w:bCs/>
                <w:iCs/>
                <w:kern w:val="24"/>
                <w:sz w:val="20"/>
                <w:szCs w:val="20"/>
                <w:lang w:eastAsia="en-AU"/>
              </w:rPr>
            </w:pPr>
            <w:r w:rsidRPr="00625350">
              <w:rPr>
                <w:rFonts w:ascii="Century Gothic" w:eastAsiaTheme="minorEastAsia" w:hAnsi="Century Gothic"/>
                <w:b/>
                <w:bCs/>
                <w:iCs/>
                <w:kern w:val="24"/>
                <w:sz w:val="20"/>
                <w:szCs w:val="20"/>
                <w:lang w:eastAsia="en-AU"/>
              </w:rPr>
              <w:t>Strategy</w:t>
            </w:r>
          </w:p>
        </w:tc>
        <w:tc>
          <w:tcPr>
            <w:tcW w:w="3600" w:type="dxa"/>
            <w:shd w:val="clear" w:color="auto" w:fill="E7EEF5"/>
            <w:tcMar>
              <w:top w:w="50" w:type="dxa"/>
              <w:left w:w="192" w:type="dxa"/>
              <w:bottom w:w="50" w:type="dxa"/>
              <w:right w:w="192" w:type="dxa"/>
            </w:tcMar>
            <w:vAlign w:val="center"/>
            <w:hideMark/>
          </w:tcPr>
          <w:p w14:paraId="00F5397E" w14:textId="77777777" w:rsidR="001B2E26" w:rsidRPr="00625350" w:rsidRDefault="001B2E26" w:rsidP="00DE00E2">
            <w:pPr>
              <w:jc w:val="center"/>
              <w:rPr>
                <w:rFonts w:ascii="Century Gothic" w:eastAsiaTheme="minorEastAsia" w:hAnsi="Century Gothic"/>
                <w:b/>
                <w:bCs/>
                <w:iCs/>
                <w:kern w:val="24"/>
                <w:sz w:val="20"/>
                <w:szCs w:val="20"/>
                <w:lang w:eastAsia="en-AU"/>
              </w:rPr>
            </w:pPr>
            <w:r w:rsidRPr="00625350">
              <w:rPr>
                <w:rFonts w:ascii="Century Gothic" w:eastAsiaTheme="minorEastAsia" w:hAnsi="Century Gothic"/>
                <w:b/>
                <w:bCs/>
                <w:iCs/>
                <w:kern w:val="24"/>
                <w:sz w:val="20"/>
                <w:szCs w:val="20"/>
                <w:lang w:eastAsia="en-AU"/>
              </w:rPr>
              <w:t>Rationale</w:t>
            </w:r>
          </w:p>
        </w:tc>
        <w:tc>
          <w:tcPr>
            <w:tcW w:w="4190" w:type="dxa"/>
            <w:shd w:val="clear" w:color="auto" w:fill="F5ECF2"/>
            <w:tcMar>
              <w:top w:w="50" w:type="dxa"/>
              <w:left w:w="192" w:type="dxa"/>
              <w:bottom w:w="50" w:type="dxa"/>
              <w:right w:w="192" w:type="dxa"/>
            </w:tcMar>
            <w:vAlign w:val="center"/>
            <w:hideMark/>
          </w:tcPr>
          <w:p w14:paraId="5AAB4142" w14:textId="77777777" w:rsidR="001B2E26" w:rsidRPr="00625350" w:rsidRDefault="001B2E26" w:rsidP="00DE00E2">
            <w:pPr>
              <w:jc w:val="center"/>
              <w:rPr>
                <w:rFonts w:ascii="Century Gothic" w:eastAsiaTheme="minorEastAsia" w:hAnsi="Century Gothic"/>
                <w:b/>
                <w:bCs/>
                <w:iCs/>
                <w:kern w:val="24"/>
                <w:sz w:val="20"/>
                <w:szCs w:val="20"/>
                <w:lang w:eastAsia="en-AU"/>
              </w:rPr>
            </w:pPr>
            <w:r w:rsidRPr="00625350">
              <w:rPr>
                <w:rFonts w:ascii="Century Gothic" w:eastAsiaTheme="minorEastAsia" w:hAnsi="Century Gothic"/>
                <w:b/>
                <w:bCs/>
                <w:iCs/>
                <w:kern w:val="24"/>
                <w:sz w:val="20"/>
                <w:szCs w:val="20"/>
                <w:lang w:eastAsia="en-AU"/>
              </w:rPr>
              <w:t>How</w:t>
            </w:r>
          </w:p>
        </w:tc>
        <w:tc>
          <w:tcPr>
            <w:tcW w:w="4589" w:type="dxa"/>
            <w:shd w:val="clear" w:color="auto" w:fill="E7EEF5"/>
            <w:tcMar>
              <w:top w:w="50" w:type="dxa"/>
              <w:left w:w="192" w:type="dxa"/>
              <w:bottom w:w="50" w:type="dxa"/>
              <w:right w:w="192" w:type="dxa"/>
            </w:tcMar>
            <w:vAlign w:val="center"/>
            <w:hideMark/>
          </w:tcPr>
          <w:p w14:paraId="76F3716F" w14:textId="77777777" w:rsidR="001B2E26" w:rsidRPr="00625350" w:rsidRDefault="001B2E26" w:rsidP="00DE00E2">
            <w:pPr>
              <w:jc w:val="center"/>
              <w:rPr>
                <w:rFonts w:ascii="Century Gothic" w:eastAsiaTheme="minorEastAsia" w:hAnsi="Century Gothic"/>
                <w:b/>
                <w:bCs/>
                <w:iCs/>
                <w:kern w:val="24"/>
                <w:sz w:val="20"/>
                <w:szCs w:val="20"/>
                <w:lang w:eastAsia="en-AU"/>
              </w:rPr>
            </w:pPr>
            <w:r w:rsidRPr="00625350">
              <w:rPr>
                <w:rFonts w:ascii="Century Gothic" w:eastAsiaTheme="minorEastAsia" w:hAnsi="Century Gothic"/>
                <w:b/>
                <w:bCs/>
                <w:iCs/>
                <w:kern w:val="24"/>
                <w:sz w:val="20"/>
                <w:szCs w:val="20"/>
                <w:lang w:eastAsia="en-AU"/>
              </w:rPr>
              <w:t>Limitations</w:t>
            </w:r>
          </w:p>
        </w:tc>
      </w:tr>
      <w:tr w:rsidR="001B2E26" w:rsidRPr="00AA647B" w14:paraId="2EC68249" w14:textId="77777777" w:rsidTr="00033CC0">
        <w:trPr>
          <w:trHeight w:hRule="exact" w:val="2262"/>
        </w:trPr>
        <w:tc>
          <w:tcPr>
            <w:tcW w:w="2391" w:type="dxa"/>
            <w:shd w:val="clear" w:color="auto" w:fill="F5ECF2"/>
            <w:tcMar>
              <w:top w:w="50" w:type="dxa"/>
              <w:left w:w="192" w:type="dxa"/>
              <w:bottom w:w="50" w:type="dxa"/>
              <w:right w:w="192" w:type="dxa"/>
            </w:tcMar>
            <w:hideMark/>
          </w:tcPr>
          <w:p w14:paraId="4A565638"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1. Locate where ultrasound machines are by searching the organization’s asset register.</w:t>
            </w:r>
          </w:p>
        </w:tc>
        <w:tc>
          <w:tcPr>
            <w:tcW w:w="3600" w:type="dxa"/>
            <w:shd w:val="clear" w:color="auto" w:fill="E7EEF5"/>
            <w:tcMar>
              <w:top w:w="50" w:type="dxa"/>
              <w:left w:w="192" w:type="dxa"/>
              <w:bottom w:w="50" w:type="dxa"/>
              <w:right w:w="192" w:type="dxa"/>
            </w:tcMar>
            <w:hideMark/>
          </w:tcPr>
          <w:p w14:paraId="6D3684B9"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 xml:space="preserve">Clinical/Biomedical Engineering department maintains an asset register of equipment used throughout the facility. The asset register links the ultrasound machine and associated service contracts to department locations. </w:t>
            </w:r>
          </w:p>
        </w:tc>
        <w:tc>
          <w:tcPr>
            <w:tcW w:w="4190" w:type="dxa"/>
            <w:shd w:val="clear" w:color="auto" w:fill="F5ECF2"/>
            <w:tcMar>
              <w:top w:w="50" w:type="dxa"/>
              <w:left w:w="192" w:type="dxa"/>
              <w:bottom w:w="50" w:type="dxa"/>
              <w:right w:w="192" w:type="dxa"/>
            </w:tcMar>
            <w:hideMark/>
          </w:tcPr>
          <w:p w14:paraId="5F8E9A00"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Ask the Clinical/Biomedical Engineering department to provide a complete list of ultrasound probes and consoles from their asset register. Identify the department in which they are located.</w:t>
            </w:r>
          </w:p>
        </w:tc>
        <w:tc>
          <w:tcPr>
            <w:tcW w:w="4589" w:type="dxa"/>
            <w:shd w:val="clear" w:color="auto" w:fill="E7EEF5"/>
            <w:tcMar>
              <w:top w:w="50" w:type="dxa"/>
              <w:left w:w="192" w:type="dxa"/>
              <w:bottom w:w="50" w:type="dxa"/>
              <w:right w:w="192" w:type="dxa"/>
            </w:tcMar>
            <w:hideMark/>
          </w:tcPr>
          <w:p w14:paraId="7CB6E84F"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Not all ultrasound machines may be listed on the register.</w:t>
            </w:r>
          </w:p>
          <w:p w14:paraId="0FFB17A3"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Asset registers may be incomplete (e.g., due to mergers/acquisitions, purchases being made by local departments, trial equipment is being used or other reasons).</w:t>
            </w:r>
          </w:p>
        </w:tc>
      </w:tr>
      <w:tr w:rsidR="001B2E26" w:rsidRPr="00AA647B" w14:paraId="1FCBFA20" w14:textId="77777777" w:rsidTr="00033CC0">
        <w:trPr>
          <w:trHeight w:hRule="exact" w:val="2624"/>
        </w:trPr>
        <w:tc>
          <w:tcPr>
            <w:tcW w:w="2391" w:type="dxa"/>
            <w:shd w:val="clear" w:color="auto" w:fill="F5ECF2"/>
            <w:tcMar>
              <w:top w:w="50" w:type="dxa"/>
              <w:left w:w="192" w:type="dxa"/>
              <w:bottom w:w="50" w:type="dxa"/>
              <w:right w:w="192" w:type="dxa"/>
            </w:tcMar>
            <w:hideMark/>
          </w:tcPr>
          <w:p w14:paraId="1080FB98"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2. Locate where ultrasound consumables are being used (e.g., gel, probe sheaths/covers).</w:t>
            </w:r>
          </w:p>
        </w:tc>
        <w:tc>
          <w:tcPr>
            <w:tcW w:w="3600" w:type="dxa"/>
            <w:shd w:val="clear" w:color="auto" w:fill="E7EEF5"/>
            <w:tcMar>
              <w:top w:w="50" w:type="dxa"/>
              <w:left w:w="192" w:type="dxa"/>
              <w:bottom w:w="50" w:type="dxa"/>
              <w:right w:w="192" w:type="dxa"/>
            </w:tcMar>
            <w:hideMark/>
          </w:tcPr>
          <w:p w14:paraId="3F40BE3A"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All ultrasound probes are used with ultrasound gel which is essential for imaging quality. Some ultrasound probes are used with sheaths/covers. Locating ultrasound gel and probes covers will lead to the departments using ultrasound probes.</w:t>
            </w:r>
          </w:p>
        </w:tc>
        <w:tc>
          <w:tcPr>
            <w:tcW w:w="4190" w:type="dxa"/>
            <w:shd w:val="clear" w:color="auto" w:fill="F5ECF2"/>
            <w:tcMar>
              <w:top w:w="50" w:type="dxa"/>
              <w:left w:w="192" w:type="dxa"/>
              <w:bottom w:w="50" w:type="dxa"/>
              <w:right w:w="192" w:type="dxa"/>
            </w:tcMar>
            <w:hideMark/>
          </w:tcPr>
          <w:p w14:paraId="31CE7FE7" w14:textId="739170C2"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 xml:space="preserve">Approach materials management, purchasing or supply chain management and request they search purchase orders and inventory lists for each department/the facility, and provide a report of material. </w:t>
            </w:r>
          </w:p>
        </w:tc>
        <w:tc>
          <w:tcPr>
            <w:tcW w:w="4589" w:type="dxa"/>
            <w:shd w:val="clear" w:color="auto" w:fill="E7EEF5"/>
            <w:tcMar>
              <w:top w:w="50" w:type="dxa"/>
              <w:left w:w="192" w:type="dxa"/>
              <w:bottom w:w="50" w:type="dxa"/>
              <w:right w:w="192" w:type="dxa"/>
            </w:tcMar>
            <w:hideMark/>
          </w:tcPr>
          <w:p w14:paraId="5A0D89AC"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 xml:space="preserve">It may be difficult to obtain purchase orders and inventory, particularly if a central system is not in place. </w:t>
            </w:r>
          </w:p>
          <w:p w14:paraId="546773A2"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 xml:space="preserve">Some consumables may be ordered centrally and distributed or may be ordered and purchased locally (e.g., by individual departments or units).  </w:t>
            </w:r>
          </w:p>
        </w:tc>
      </w:tr>
      <w:tr w:rsidR="001B2E26" w:rsidRPr="00AA647B" w14:paraId="272E6EBB" w14:textId="77777777" w:rsidTr="00033CC0">
        <w:trPr>
          <w:trHeight w:hRule="exact" w:val="1864"/>
        </w:trPr>
        <w:tc>
          <w:tcPr>
            <w:tcW w:w="2391" w:type="dxa"/>
            <w:shd w:val="clear" w:color="auto" w:fill="F5ECF2"/>
            <w:tcMar>
              <w:top w:w="50" w:type="dxa"/>
              <w:left w:w="192" w:type="dxa"/>
              <w:bottom w:w="50" w:type="dxa"/>
              <w:right w:w="192" w:type="dxa"/>
            </w:tcMar>
            <w:hideMark/>
          </w:tcPr>
          <w:p w14:paraId="6F476328"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3. Survey departments to identify where ultrasound is used.</w:t>
            </w:r>
          </w:p>
        </w:tc>
        <w:tc>
          <w:tcPr>
            <w:tcW w:w="3600" w:type="dxa"/>
            <w:shd w:val="clear" w:color="auto" w:fill="E7EEF5"/>
            <w:tcMar>
              <w:top w:w="50" w:type="dxa"/>
              <w:left w:w="192" w:type="dxa"/>
              <w:bottom w:w="50" w:type="dxa"/>
              <w:right w:w="192" w:type="dxa"/>
            </w:tcMar>
            <w:hideMark/>
          </w:tcPr>
          <w:p w14:paraId="20B3E4F4"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End users are the best placed to know where ultrasound is being used.</w:t>
            </w:r>
          </w:p>
        </w:tc>
        <w:tc>
          <w:tcPr>
            <w:tcW w:w="4190" w:type="dxa"/>
            <w:shd w:val="clear" w:color="auto" w:fill="F5ECF2"/>
            <w:tcMar>
              <w:top w:w="50" w:type="dxa"/>
              <w:left w:w="192" w:type="dxa"/>
              <w:bottom w:w="50" w:type="dxa"/>
              <w:right w:w="192" w:type="dxa"/>
            </w:tcMar>
            <w:hideMark/>
          </w:tcPr>
          <w:p w14:paraId="30631C04"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Approach departments and ask about their ultrasound use. Methods include but are not limited to departmental/facility wide email, physically visiting or phoning each department and/or patient care unit leadership.</w:t>
            </w:r>
          </w:p>
        </w:tc>
        <w:tc>
          <w:tcPr>
            <w:tcW w:w="4589" w:type="dxa"/>
            <w:shd w:val="clear" w:color="auto" w:fill="E7EEF5"/>
            <w:tcMar>
              <w:top w:w="50" w:type="dxa"/>
              <w:left w:w="192" w:type="dxa"/>
              <w:bottom w:w="50" w:type="dxa"/>
              <w:right w:w="192" w:type="dxa"/>
            </w:tcMar>
            <w:hideMark/>
          </w:tcPr>
          <w:p w14:paraId="653681D8"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It may be time consuming to reach all departments.</w:t>
            </w:r>
          </w:p>
          <w:p w14:paraId="772024BD"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It may be difficult to identify staff with full knowledge of ultrasound use in their department.</w:t>
            </w:r>
          </w:p>
        </w:tc>
      </w:tr>
      <w:tr w:rsidR="001B2E26" w:rsidRPr="00AA647B" w14:paraId="7F6AD489" w14:textId="77777777" w:rsidTr="00033CC0">
        <w:trPr>
          <w:trHeight w:hRule="exact" w:val="2312"/>
        </w:trPr>
        <w:tc>
          <w:tcPr>
            <w:tcW w:w="2391" w:type="dxa"/>
            <w:shd w:val="clear" w:color="auto" w:fill="F5ECF2"/>
            <w:tcMar>
              <w:top w:w="50" w:type="dxa"/>
              <w:left w:w="192" w:type="dxa"/>
              <w:bottom w:w="50" w:type="dxa"/>
              <w:right w:w="192" w:type="dxa"/>
            </w:tcMar>
            <w:hideMark/>
          </w:tcPr>
          <w:p w14:paraId="3B5AD061"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 xml:space="preserve">4. Identify billable ultrasound procedures in financial records. </w:t>
            </w:r>
          </w:p>
        </w:tc>
        <w:tc>
          <w:tcPr>
            <w:tcW w:w="3600" w:type="dxa"/>
            <w:shd w:val="clear" w:color="auto" w:fill="E7EEF5"/>
            <w:tcMar>
              <w:top w:w="50" w:type="dxa"/>
              <w:left w:w="192" w:type="dxa"/>
              <w:bottom w:w="50" w:type="dxa"/>
              <w:right w:w="192" w:type="dxa"/>
            </w:tcMar>
            <w:hideMark/>
          </w:tcPr>
          <w:p w14:paraId="25F8E7EA"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Ultrasound procedures should be billed. If ultrasound procedure item codes are obtained, they can then be used to identify which departments or providers are billing for those items.</w:t>
            </w:r>
          </w:p>
        </w:tc>
        <w:tc>
          <w:tcPr>
            <w:tcW w:w="4190" w:type="dxa"/>
            <w:shd w:val="clear" w:color="auto" w:fill="F5ECF2"/>
            <w:tcMar>
              <w:top w:w="50" w:type="dxa"/>
              <w:left w:w="192" w:type="dxa"/>
              <w:bottom w:w="50" w:type="dxa"/>
              <w:right w:w="192" w:type="dxa"/>
            </w:tcMar>
            <w:hideMark/>
          </w:tcPr>
          <w:p w14:paraId="58E5CB35" w14:textId="77777777" w:rsidR="001B2E26" w:rsidRPr="00625350" w:rsidRDefault="001B2E26" w:rsidP="00DE00E2">
            <w:pPr>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Identify ultrasonography billing codes, ask finance department for a list of billing records that involve ultrasound procedure item codes and determine which departments are billing for those items.</w:t>
            </w:r>
          </w:p>
        </w:tc>
        <w:tc>
          <w:tcPr>
            <w:tcW w:w="4589" w:type="dxa"/>
            <w:shd w:val="clear" w:color="auto" w:fill="E7EEF5"/>
            <w:tcMar>
              <w:top w:w="50" w:type="dxa"/>
              <w:left w:w="192" w:type="dxa"/>
              <w:bottom w:w="50" w:type="dxa"/>
              <w:right w:w="192" w:type="dxa"/>
            </w:tcMar>
            <w:hideMark/>
          </w:tcPr>
          <w:p w14:paraId="02B189DF"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Billing may not provide department specific information.</w:t>
            </w:r>
          </w:p>
          <w:p w14:paraId="7002ECC7"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The finance system may not be set up to readily perform these searches.</w:t>
            </w:r>
          </w:p>
          <w:p w14:paraId="3B42740C" w14:textId="77777777" w:rsidR="001B2E26" w:rsidRPr="00625350" w:rsidRDefault="001B2E26" w:rsidP="001B2E26">
            <w:pPr>
              <w:numPr>
                <w:ilvl w:val="0"/>
                <w:numId w:val="1"/>
              </w:numPr>
              <w:ind w:left="365"/>
              <w:contextualSpacing/>
              <w:rPr>
                <w:rFonts w:ascii="Century Gothic" w:eastAsiaTheme="minorEastAsia" w:hAnsi="Century Gothic"/>
                <w:bCs/>
                <w:iCs/>
                <w:color w:val="000000" w:themeColor="text1"/>
                <w:kern w:val="24"/>
                <w:sz w:val="20"/>
                <w:szCs w:val="20"/>
                <w:lang w:eastAsia="en-AU"/>
              </w:rPr>
            </w:pPr>
            <w:r w:rsidRPr="00625350">
              <w:rPr>
                <w:rFonts w:ascii="Century Gothic" w:eastAsiaTheme="minorEastAsia" w:hAnsi="Century Gothic"/>
                <w:bCs/>
                <w:iCs/>
                <w:color w:val="000000" w:themeColor="text1"/>
                <w:kern w:val="24"/>
                <w:sz w:val="20"/>
                <w:szCs w:val="20"/>
                <w:lang w:eastAsia="en-AU"/>
              </w:rPr>
              <w:t xml:space="preserve">It may be difficult to determine which item codes are associated with ultrasound procedures or probes. </w:t>
            </w:r>
          </w:p>
        </w:tc>
      </w:tr>
    </w:tbl>
    <w:p w14:paraId="4C6A5013" w14:textId="0ECC292E" w:rsidR="001B2E26" w:rsidRPr="00033CC0" w:rsidRDefault="001B2E26" w:rsidP="00033CC0">
      <w:pPr>
        <w:spacing w:after="0" w:line="240" w:lineRule="auto"/>
        <w:rPr>
          <w:rFonts w:ascii="Century Gothic" w:eastAsia="+mn-ea" w:hAnsi="Century Gothic" w:cs="+mn-cs"/>
          <w:bCs/>
          <w:color w:val="00A7E7"/>
          <w:kern w:val="24"/>
          <w:sz w:val="24"/>
          <w:szCs w:val="24"/>
          <w:lang w:eastAsia="en-AU"/>
        </w:rPr>
        <w:sectPr w:rsidR="001B2E26" w:rsidRPr="00033CC0" w:rsidSect="00033CC0">
          <w:pgSz w:w="15840" w:h="12240" w:orient="landscape"/>
          <w:pgMar w:top="567" w:right="567" w:bottom="567" w:left="567" w:header="709" w:footer="709" w:gutter="0"/>
          <w:cols w:space="708"/>
          <w:formProt w:val="0"/>
          <w:docGrid w:linePitch="360"/>
        </w:sectPr>
      </w:pPr>
    </w:p>
    <w:p w14:paraId="5B451894" w14:textId="77777777" w:rsidR="001B2E26" w:rsidRPr="003B760A" w:rsidRDefault="001B2E26" w:rsidP="001B2E26">
      <w:pPr>
        <w:spacing w:after="0" w:line="240" w:lineRule="auto"/>
        <w:rPr>
          <w:rFonts w:ascii="Century Gothic" w:eastAsia="+mn-ea" w:hAnsi="Century Gothic" w:cs="+mn-cs"/>
          <w:bCs/>
          <w:color w:val="00A7E7"/>
          <w:kern w:val="24"/>
          <w:sz w:val="24"/>
          <w:szCs w:val="24"/>
          <w:lang w:eastAsia="en-AU"/>
        </w:rPr>
      </w:pPr>
      <w:r w:rsidRPr="003B760A">
        <w:rPr>
          <w:rFonts w:ascii="Century Gothic" w:eastAsia="+mn-ea" w:hAnsi="Century Gothic" w:cs="+mn-cs"/>
          <w:bCs/>
          <w:color w:val="00A7E7"/>
          <w:kern w:val="24"/>
          <w:sz w:val="24"/>
          <w:szCs w:val="24"/>
          <w:lang w:eastAsia="en-AU"/>
        </w:rPr>
        <w:lastRenderedPageBreak/>
        <w:t>Tool 1: Part B – Profile</w:t>
      </w:r>
    </w:p>
    <w:p w14:paraId="04CCDBDB" w14:textId="77777777" w:rsidR="001B2E26" w:rsidRPr="003B760A" w:rsidRDefault="001B2E26" w:rsidP="001B2E26">
      <w:pPr>
        <w:spacing w:after="0" w:line="240" w:lineRule="auto"/>
        <w:rPr>
          <w:rFonts w:ascii="Century Gothic" w:eastAsia="Times New Roman" w:hAnsi="Century Gothic" w:cs="Times New Roman"/>
          <w:b/>
          <w:i/>
          <w:color w:val="00A7E7"/>
          <w:sz w:val="20"/>
          <w:szCs w:val="20"/>
          <w:lang w:eastAsia="en-AU"/>
        </w:rPr>
      </w:pPr>
      <w:r w:rsidRPr="003B760A">
        <w:rPr>
          <w:rFonts w:ascii="Century Gothic" w:eastAsia="+mn-ea" w:hAnsi="Century Gothic" w:cs="+mn-cs"/>
          <w:b/>
          <w:i/>
          <w:color w:val="00A7E7"/>
          <w:kern w:val="24"/>
          <w:sz w:val="20"/>
          <w:szCs w:val="20"/>
          <w:lang w:eastAsia="en-AU"/>
        </w:rPr>
        <w:t>Profile policy and practice for each ultrasound procedure at your facility.</w:t>
      </w:r>
    </w:p>
    <w:p w14:paraId="421B1E3A" w14:textId="77777777" w:rsidR="001B2E26" w:rsidRPr="00AA647B" w:rsidRDefault="001B2E26" w:rsidP="001B2E26">
      <w:pPr>
        <w:spacing w:after="0" w:line="240" w:lineRule="auto"/>
        <w:rPr>
          <w:rFonts w:ascii="Century Gothic" w:eastAsiaTheme="minorEastAsia" w:hAnsi="Century Gothic"/>
          <w:b/>
          <w:bCs/>
          <w:i/>
          <w:iCs/>
          <w:color w:val="000000" w:themeColor="text1"/>
          <w:kern w:val="24"/>
          <w:sz w:val="16"/>
          <w:szCs w:val="16"/>
          <w:lang w:eastAsia="en-AU"/>
        </w:rPr>
      </w:pPr>
    </w:p>
    <w:tbl>
      <w:tblPr>
        <w:tblStyle w:val="TableGrid31"/>
        <w:tblW w:w="11028" w:type="dxa"/>
        <w:tblInd w:w="-5" w:type="dxa"/>
        <w:tblLook w:val="04A0" w:firstRow="1" w:lastRow="0" w:firstColumn="1" w:lastColumn="0" w:noHBand="0" w:noVBand="1"/>
      </w:tblPr>
      <w:tblGrid>
        <w:gridCol w:w="3261"/>
        <w:gridCol w:w="1842"/>
        <w:gridCol w:w="1389"/>
        <w:gridCol w:w="1559"/>
        <w:gridCol w:w="2977"/>
      </w:tblGrid>
      <w:tr w:rsidR="001B2E26" w:rsidRPr="00AA647B" w14:paraId="18754201" w14:textId="77777777" w:rsidTr="00DE00E2">
        <w:trPr>
          <w:trHeight w:val="487"/>
        </w:trPr>
        <w:tc>
          <w:tcPr>
            <w:tcW w:w="3261" w:type="dxa"/>
            <w:shd w:val="clear" w:color="auto" w:fill="E7EEF5"/>
            <w:vAlign w:val="center"/>
          </w:tcPr>
          <w:p w14:paraId="25635D5B" w14:textId="77777777" w:rsidR="001B2E26" w:rsidRPr="00AA647B" w:rsidRDefault="001B2E26" w:rsidP="00DE00E2">
            <w:pPr>
              <w:jc w:val="center"/>
              <w:rPr>
                <w:rFonts w:ascii="Century Gothic" w:hAnsi="Century Gothic"/>
                <w:b/>
                <w:color w:val="000000" w:themeColor="text1"/>
              </w:rPr>
            </w:pPr>
            <w:r w:rsidRPr="00AA647B">
              <w:rPr>
                <w:rFonts w:ascii="Century Gothic" w:hAnsi="Century Gothic"/>
                <w:b/>
                <w:color w:val="000000" w:themeColor="text1"/>
              </w:rPr>
              <w:t>Procedure</w:t>
            </w:r>
          </w:p>
        </w:tc>
        <w:tc>
          <w:tcPr>
            <w:tcW w:w="1842" w:type="dxa"/>
            <w:shd w:val="clear" w:color="auto" w:fill="E7EEF5"/>
            <w:vAlign w:val="center"/>
          </w:tcPr>
          <w:p w14:paraId="70012E11" w14:textId="77777777" w:rsidR="001B2E26" w:rsidRPr="00AA647B" w:rsidRDefault="001B2E26" w:rsidP="00DE00E2">
            <w:pPr>
              <w:jc w:val="center"/>
              <w:rPr>
                <w:rFonts w:ascii="Century Gothic" w:hAnsi="Century Gothic"/>
                <w:b/>
                <w:color w:val="000000" w:themeColor="text1"/>
              </w:rPr>
            </w:pPr>
            <w:r w:rsidRPr="00AA647B">
              <w:rPr>
                <w:rFonts w:ascii="Century Gothic" w:hAnsi="Century Gothic"/>
                <w:b/>
                <w:color w:val="000000" w:themeColor="text1"/>
              </w:rPr>
              <w:t>Department</w:t>
            </w:r>
          </w:p>
        </w:tc>
        <w:tc>
          <w:tcPr>
            <w:tcW w:w="1389" w:type="dxa"/>
            <w:shd w:val="clear" w:color="auto" w:fill="E7EEF5"/>
            <w:vAlign w:val="center"/>
          </w:tcPr>
          <w:p w14:paraId="78514359" w14:textId="77777777" w:rsidR="001B2E26" w:rsidRPr="00AA647B" w:rsidRDefault="001B2E26" w:rsidP="00DE00E2">
            <w:pPr>
              <w:jc w:val="center"/>
              <w:rPr>
                <w:rFonts w:ascii="Century Gothic" w:hAnsi="Century Gothic"/>
                <w:b/>
                <w:color w:val="000000" w:themeColor="text1"/>
              </w:rPr>
            </w:pPr>
            <w:r w:rsidRPr="00AA647B">
              <w:rPr>
                <w:rFonts w:ascii="Century Gothic" w:hAnsi="Century Gothic"/>
                <w:b/>
                <w:color w:val="000000" w:themeColor="text1"/>
              </w:rPr>
              <w:t>Room</w:t>
            </w:r>
          </w:p>
        </w:tc>
        <w:tc>
          <w:tcPr>
            <w:tcW w:w="1559" w:type="dxa"/>
            <w:shd w:val="clear" w:color="auto" w:fill="E7EEF5"/>
            <w:vAlign w:val="center"/>
          </w:tcPr>
          <w:p w14:paraId="6091B33A" w14:textId="77777777" w:rsidR="001B2E26" w:rsidRPr="00AA647B" w:rsidRDefault="001B2E26" w:rsidP="00DE00E2">
            <w:pPr>
              <w:jc w:val="center"/>
              <w:rPr>
                <w:rFonts w:ascii="Century Gothic" w:hAnsi="Century Gothic"/>
                <w:b/>
                <w:color w:val="000000" w:themeColor="text1"/>
              </w:rPr>
            </w:pPr>
            <w:r w:rsidRPr="00AA647B">
              <w:rPr>
                <w:rFonts w:ascii="Century Gothic" w:hAnsi="Century Gothic"/>
                <w:b/>
                <w:color w:val="000000" w:themeColor="text1"/>
              </w:rPr>
              <w:t>Date</w:t>
            </w:r>
          </w:p>
        </w:tc>
        <w:tc>
          <w:tcPr>
            <w:tcW w:w="2977" w:type="dxa"/>
            <w:shd w:val="clear" w:color="auto" w:fill="E7EEF5"/>
            <w:vAlign w:val="center"/>
          </w:tcPr>
          <w:p w14:paraId="5095A8B0" w14:textId="77777777" w:rsidR="001B2E26" w:rsidRPr="00AA647B" w:rsidRDefault="001B2E26" w:rsidP="00DE00E2">
            <w:pPr>
              <w:jc w:val="center"/>
              <w:rPr>
                <w:rFonts w:ascii="Century Gothic" w:hAnsi="Century Gothic"/>
                <w:b/>
                <w:color w:val="000000" w:themeColor="text1"/>
              </w:rPr>
            </w:pPr>
            <w:r w:rsidRPr="00AA647B">
              <w:rPr>
                <w:rFonts w:ascii="Century Gothic" w:hAnsi="Century Gothic"/>
                <w:b/>
                <w:color w:val="000000" w:themeColor="text1"/>
              </w:rPr>
              <w:t>Assessor</w:t>
            </w:r>
          </w:p>
        </w:tc>
      </w:tr>
      <w:tr w:rsidR="001B2E26" w:rsidRPr="00AA647B" w14:paraId="065970A6" w14:textId="77777777" w:rsidTr="00DE00E2">
        <w:trPr>
          <w:trHeight w:val="290"/>
        </w:trPr>
        <w:tc>
          <w:tcPr>
            <w:tcW w:w="3261" w:type="dxa"/>
            <w:shd w:val="clear" w:color="auto" w:fill="E7EEF5"/>
          </w:tcPr>
          <w:p w14:paraId="6571E093" w14:textId="77777777" w:rsidR="001B2E26" w:rsidRPr="00AA647B" w:rsidRDefault="001B2E26" w:rsidP="00DE00E2">
            <w:pPr>
              <w:rPr>
                <w:rFonts w:ascii="Century Gothic" w:hAnsi="Century Gothic"/>
                <w:color w:val="000000" w:themeColor="text1"/>
              </w:rPr>
            </w:pPr>
          </w:p>
        </w:tc>
        <w:tc>
          <w:tcPr>
            <w:tcW w:w="1842" w:type="dxa"/>
            <w:shd w:val="clear" w:color="auto" w:fill="E7EEF5"/>
          </w:tcPr>
          <w:p w14:paraId="5CC15ACA" w14:textId="77777777" w:rsidR="001B2E26" w:rsidRPr="00AA647B" w:rsidRDefault="001B2E26" w:rsidP="00DE00E2">
            <w:pPr>
              <w:rPr>
                <w:rFonts w:ascii="Century Gothic" w:hAnsi="Century Gothic"/>
                <w:color w:val="000000" w:themeColor="text1"/>
              </w:rPr>
            </w:pPr>
          </w:p>
        </w:tc>
        <w:tc>
          <w:tcPr>
            <w:tcW w:w="1389" w:type="dxa"/>
            <w:shd w:val="clear" w:color="auto" w:fill="E7EEF5"/>
          </w:tcPr>
          <w:p w14:paraId="00C4ED19" w14:textId="77777777" w:rsidR="001B2E26" w:rsidRPr="00AA647B" w:rsidRDefault="001B2E26" w:rsidP="00DE00E2">
            <w:pPr>
              <w:rPr>
                <w:rFonts w:ascii="Century Gothic" w:hAnsi="Century Gothic"/>
                <w:color w:val="000000" w:themeColor="text1"/>
              </w:rPr>
            </w:pPr>
          </w:p>
        </w:tc>
        <w:tc>
          <w:tcPr>
            <w:tcW w:w="1559" w:type="dxa"/>
            <w:shd w:val="clear" w:color="auto" w:fill="E7EEF5"/>
          </w:tcPr>
          <w:p w14:paraId="1DC89946" w14:textId="77777777" w:rsidR="001B2E26" w:rsidRPr="00AA647B" w:rsidRDefault="001B2E26" w:rsidP="00DE00E2">
            <w:pPr>
              <w:rPr>
                <w:rFonts w:ascii="Century Gothic" w:hAnsi="Century Gothic"/>
                <w:color w:val="000000" w:themeColor="text1"/>
              </w:rPr>
            </w:pPr>
          </w:p>
        </w:tc>
        <w:tc>
          <w:tcPr>
            <w:tcW w:w="2977" w:type="dxa"/>
            <w:shd w:val="clear" w:color="auto" w:fill="E7EEF5"/>
          </w:tcPr>
          <w:p w14:paraId="33ACC6F5" w14:textId="77777777" w:rsidR="001B2E26" w:rsidRPr="00AA647B" w:rsidRDefault="001B2E26" w:rsidP="00DE00E2">
            <w:pPr>
              <w:rPr>
                <w:rFonts w:ascii="Century Gothic" w:hAnsi="Century Gothic"/>
                <w:color w:val="000000" w:themeColor="text1"/>
              </w:rPr>
            </w:pPr>
          </w:p>
        </w:tc>
      </w:tr>
    </w:tbl>
    <w:p w14:paraId="30433EA6" w14:textId="77777777" w:rsidR="001B2E26" w:rsidRPr="00AA647B" w:rsidRDefault="001B2E26" w:rsidP="001B2E26">
      <w:pPr>
        <w:spacing w:after="0" w:line="240" w:lineRule="auto"/>
        <w:rPr>
          <w:rFonts w:ascii="Century Gothic" w:hAnsi="Century Gothic"/>
          <w:color w:val="000000" w:themeColor="text1"/>
        </w:rPr>
      </w:pPr>
    </w:p>
    <w:p w14:paraId="1EC73A30" w14:textId="77777777" w:rsidR="001B2E26" w:rsidRPr="00AA647B" w:rsidRDefault="001B2E26" w:rsidP="001B2E26">
      <w:pPr>
        <w:spacing w:after="0" w:line="240" w:lineRule="auto"/>
        <w:rPr>
          <w:rFonts w:ascii="Century Gothic" w:hAnsi="Century Gothic"/>
          <w:b/>
          <w:color w:val="000000" w:themeColor="text1"/>
        </w:rPr>
      </w:pPr>
      <w:r w:rsidRPr="00AA647B">
        <w:rPr>
          <w:rFonts w:ascii="Century Gothic" w:hAnsi="Century Gothic"/>
          <w:b/>
          <w:color w:val="000000" w:themeColor="text1"/>
        </w:rPr>
        <w:t xml:space="preserve">1. Policy. </w:t>
      </w:r>
      <w:r w:rsidRPr="00AA647B">
        <w:rPr>
          <w:rFonts w:ascii="Century Gothic" w:hAnsi="Century Gothic"/>
          <w:color w:val="000000" w:themeColor="text1"/>
        </w:rPr>
        <w:t>Does the facility/department have a policy for performing ultrasound procedures?</w:t>
      </w:r>
    </w:p>
    <w:p w14:paraId="5C101765" w14:textId="77777777" w:rsidR="001B2E26" w:rsidRPr="00AA647B" w:rsidRDefault="001B2E26" w:rsidP="001B2E26">
      <w:pPr>
        <w:spacing w:after="0" w:line="240" w:lineRule="auto"/>
        <w:rPr>
          <w:rFonts w:ascii="Century Gothic" w:hAnsi="Century Gothic"/>
          <w:color w:val="000000" w:themeColor="text1"/>
          <w:sz w:val="8"/>
          <w:szCs w:val="8"/>
        </w:rPr>
      </w:pPr>
    </w:p>
    <w:tbl>
      <w:tblPr>
        <w:tblStyle w:val="TableGrid31"/>
        <w:tblW w:w="11020" w:type="dxa"/>
        <w:tblInd w:w="3" w:type="dxa"/>
        <w:tblBorders>
          <w:insideH w:val="none" w:sz="0" w:space="0" w:color="auto"/>
          <w:insideV w:val="none" w:sz="0" w:space="0" w:color="auto"/>
        </w:tblBorders>
        <w:tblLayout w:type="fixed"/>
        <w:tblLook w:val="04A0" w:firstRow="1" w:lastRow="0" w:firstColumn="1" w:lastColumn="0" w:noHBand="0" w:noVBand="1"/>
      </w:tblPr>
      <w:tblGrid>
        <w:gridCol w:w="3933"/>
        <w:gridCol w:w="7087"/>
      </w:tblGrid>
      <w:tr w:rsidR="001B2E26" w:rsidRPr="00AA647B" w14:paraId="6BFA3E48" w14:textId="77777777" w:rsidTr="00DE00E2">
        <w:trPr>
          <w:trHeight w:val="334"/>
        </w:trPr>
        <w:tc>
          <w:tcPr>
            <w:tcW w:w="3933" w:type="dxa"/>
            <w:shd w:val="clear" w:color="auto" w:fill="auto"/>
            <w:vAlign w:val="center"/>
          </w:tcPr>
          <w:p w14:paraId="705E589D"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xml:space="preserve">□ Yes. </w:t>
            </w:r>
            <w:r w:rsidRPr="00AA647B">
              <w:rPr>
                <w:rFonts w:ascii="Century Gothic" w:hAnsi="Century Gothic"/>
                <w:b/>
                <w:color w:val="000000" w:themeColor="text1"/>
              </w:rPr>
              <w:t>Go to Q2.</w:t>
            </w:r>
            <w:r w:rsidRPr="00AA647B">
              <w:rPr>
                <w:rFonts w:ascii="Century Gothic" w:hAnsi="Century Gothic"/>
                <w:color w:val="000000" w:themeColor="text1"/>
              </w:rPr>
              <w:t xml:space="preserve"> </w:t>
            </w:r>
          </w:p>
        </w:tc>
        <w:tc>
          <w:tcPr>
            <w:tcW w:w="7087" w:type="dxa"/>
            <w:shd w:val="clear" w:color="auto" w:fill="E7EEF5"/>
            <w:vAlign w:val="center"/>
          </w:tcPr>
          <w:p w14:paraId="6E7A7C2A"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xml:space="preserve">□ No. </w:t>
            </w:r>
            <w:r w:rsidRPr="00AA647B">
              <w:rPr>
                <w:rFonts w:ascii="Century Gothic" w:hAnsi="Century Gothic"/>
                <w:b/>
                <w:color w:val="000000" w:themeColor="text1"/>
              </w:rPr>
              <w:t>Go to Q4.</w:t>
            </w:r>
            <w:r w:rsidRPr="00AA647B">
              <w:rPr>
                <w:rFonts w:ascii="Century Gothic" w:hAnsi="Century Gothic"/>
                <w:color w:val="000000" w:themeColor="text1"/>
              </w:rPr>
              <w:t xml:space="preserve"> </w:t>
            </w:r>
          </w:p>
        </w:tc>
      </w:tr>
    </w:tbl>
    <w:p w14:paraId="7A344710" w14:textId="77777777" w:rsidR="001B2E26" w:rsidRPr="00AA647B" w:rsidRDefault="001B2E26" w:rsidP="001B2E26">
      <w:pPr>
        <w:spacing w:after="0" w:line="240" w:lineRule="auto"/>
        <w:rPr>
          <w:rFonts w:ascii="Century Gothic" w:hAnsi="Century Gothic"/>
          <w:color w:val="000000" w:themeColor="text1"/>
        </w:rPr>
      </w:pPr>
    </w:p>
    <w:p w14:paraId="42973B35" w14:textId="77777777" w:rsidR="001B2E26" w:rsidRPr="00AA647B" w:rsidRDefault="001B2E26" w:rsidP="001B2E26">
      <w:pPr>
        <w:spacing w:after="0" w:line="240" w:lineRule="auto"/>
        <w:rPr>
          <w:rFonts w:ascii="Century Gothic" w:hAnsi="Century Gothic"/>
          <w:b/>
          <w:color w:val="000000" w:themeColor="text1"/>
        </w:rPr>
      </w:pPr>
      <w:r w:rsidRPr="00AA647B">
        <w:rPr>
          <w:rFonts w:ascii="Century Gothic" w:hAnsi="Century Gothic"/>
          <w:b/>
          <w:color w:val="000000" w:themeColor="text1"/>
        </w:rPr>
        <w:t xml:space="preserve">2. Read Your Policy. </w:t>
      </w:r>
      <w:r w:rsidRPr="00AA647B">
        <w:rPr>
          <w:rFonts w:ascii="Century Gothic" w:hAnsi="Century Gothic"/>
          <w:color w:val="000000" w:themeColor="text1"/>
        </w:rPr>
        <w:t>How does the policy indicate the probe should be reprocessed and used for this particular procedure?</w:t>
      </w:r>
    </w:p>
    <w:p w14:paraId="3EC7269D" w14:textId="77777777" w:rsidR="001B2E26" w:rsidRPr="00AA647B" w:rsidRDefault="001B2E26" w:rsidP="001B2E26">
      <w:pPr>
        <w:spacing w:after="0" w:line="240" w:lineRule="auto"/>
        <w:rPr>
          <w:rFonts w:ascii="Century Gothic" w:hAnsi="Century Gothic"/>
          <w:color w:val="000000" w:themeColor="text1"/>
          <w:sz w:val="8"/>
          <w:szCs w:val="8"/>
        </w:rPr>
      </w:pPr>
    </w:p>
    <w:tbl>
      <w:tblPr>
        <w:tblStyle w:val="TableGrid31"/>
        <w:tblW w:w="11023" w:type="dxa"/>
        <w:tblBorders>
          <w:insideH w:val="none" w:sz="0" w:space="0" w:color="auto"/>
          <w:insideV w:val="none" w:sz="0" w:space="0" w:color="auto"/>
        </w:tblBorders>
        <w:tblLayout w:type="fixed"/>
        <w:tblLook w:val="04A0" w:firstRow="1" w:lastRow="0" w:firstColumn="1" w:lastColumn="0" w:noHBand="0" w:noVBand="1"/>
      </w:tblPr>
      <w:tblGrid>
        <w:gridCol w:w="1809"/>
        <w:gridCol w:w="2127"/>
        <w:gridCol w:w="2693"/>
        <w:gridCol w:w="2268"/>
        <w:gridCol w:w="2126"/>
      </w:tblGrid>
      <w:tr w:rsidR="001B2E26" w:rsidRPr="00AA647B" w14:paraId="7D2C5CA1" w14:textId="77777777" w:rsidTr="00DE00E2">
        <w:trPr>
          <w:trHeight w:val="416"/>
        </w:trPr>
        <w:tc>
          <w:tcPr>
            <w:tcW w:w="1809" w:type="dxa"/>
            <w:shd w:val="clear" w:color="auto" w:fill="auto"/>
            <w:vAlign w:val="center"/>
          </w:tcPr>
          <w:p w14:paraId="79211E03" w14:textId="77777777" w:rsidR="001B2E26" w:rsidRPr="00AA647B" w:rsidRDefault="001B2E26" w:rsidP="00DE00E2">
            <w:pPr>
              <w:jc w:val="right"/>
              <w:rPr>
                <w:rFonts w:ascii="Century Gothic" w:hAnsi="Century Gothic"/>
                <w:b/>
                <w:color w:val="000000" w:themeColor="text1"/>
                <w:sz w:val="20"/>
                <w:szCs w:val="20"/>
              </w:rPr>
            </w:pPr>
            <w:r w:rsidRPr="00AA647B">
              <w:rPr>
                <w:rFonts w:ascii="Century Gothic" w:hAnsi="Century Gothic"/>
                <w:b/>
                <w:color w:val="000000" w:themeColor="text1"/>
                <w:sz w:val="20"/>
                <w:szCs w:val="20"/>
              </w:rPr>
              <w:t>Reprocessing:</w:t>
            </w:r>
          </w:p>
        </w:tc>
        <w:tc>
          <w:tcPr>
            <w:tcW w:w="2127" w:type="dxa"/>
            <w:shd w:val="clear" w:color="auto" w:fill="auto"/>
            <w:vAlign w:val="center"/>
          </w:tcPr>
          <w:p w14:paraId="06895626"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Sterilized</w:t>
            </w:r>
          </w:p>
        </w:tc>
        <w:tc>
          <w:tcPr>
            <w:tcW w:w="2693" w:type="dxa"/>
            <w:shd w:val="clear" w:color="auto" w:fill="auto"/>
            <w:vAlign w:val="center"/>
          </w:tcPr>
          <w:p w14:paraId="5DBAA96C"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HLD</w:t>
            </w:r>
          </w:p>
        </w:tc>
        <w:tc>
          <w:tcPr>
            <w:tcW w:w="2268" w:type="dxa"/>
            <w:shd w:val="clear" w:color="auto" w:fill="auto"/>
            <w:vAlign w:val="center"/>
          </w:tcPr>
          <w:p w14:paraId="5D028839"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LLD/ILD</w:t>
            </w:r>
          </w:p>
        </w:tc>
        <w:tc>
          <w:tcPr>
            <w:tcW w:w="2126" w:type="dxa"/>
            <w:shd w:val="clear" w:color="auto" w:fill="E7EEF5"/>
            <w:vAlign w:val="center"/>
          </w:tcPr>
          <w:p w14:paraId="4530D371"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Not specified</w:t>
            </w:r>
          </w:p>
        </w:tc>
      </w:tr>
      <w:tr w:rsidR="001B2E26" w:rsidRPr="00AA647B" w14:paraId="4853252F" w14:textId="77777777" w:rsidTr="00DE00E2">
        <w:trPr>
          <w:trHeight w:val="342"/>
        </w:trPr>
        <w:tc>
          <w:tcPr>
            <w:tcW w:w="1809" w:type="dxa"/>
            <w:shd w:val="clear" w:color="auto" w:fill="auto"/>
            <w:vAlign w:val="center"/>
          </w:tcPr>
          <w:p w14:paraId="29EA90BD" w14:textId="77777777" w:rsidR="001B2E26" w:rsidRPr="00AA647B" w:rsidRDefault="001B2E26" w:rsidP="00DE00E2">
            <w:pPr>
              <w:jc w:val="right"/>
              <w:rPr>
                <w:rFonts w:ascii="Century Gothic" w:hAnsi="Century Gothic"/>
                <w:b/>
                <w:color w:val="000000" w:themeColor="text1"/>
                <w:sz w:val="20"/>
                <w:szCs w:val="20"/>
              </w:rPr>
            </w:pPr>
            <w:r w:rsidRPr="00AA647B">
              <w:rPr>
                <w:rFonts w:ascii="Century Gothic" w:hAnsi="Century Gothic"/>
                <w:b/>
                <w:color w:val="000000" w:themeColor="text1"/>
                <w:sz w:val="20"/>
                <w:szCs w:val="20"/>
              </w:rPr>
              <w:t>Cover use:</w:t>
            </w:r>
          </w:p>
        </w:tc>
        <w:tc>
          <w:tcPr>
            <w:tcW w:w="2127" w:type="dxa"/>
            <w:shd w:val="clear" w:color="auto" w:fill="auto"/>
            <w:vAlign w:val="center"/>
          </w:tcPr>
          <w:p w14:paraId="26BF6D11"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Sterile</w:t>
            </w:r>
          </w:p>
        </w:tc>
        <w:tc>
          <w:tcPr>
            <w:tcW w:w="2693" w:type="dxa"/>
            <w:shd w:val="clear" w:color="auto" w:fill="auto"/>
            <w:vAlign w:val="center"/>
          </w:tcPr>
          <w:p w14:paraId="18C7E6D1"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xml:space="preserve">□ Single use non-sterile </w:t>
            </w:r>
          </w:p>
        </w:tc>
        <w:tc>
          <w:tcPr>
            <w:tcW w:w="2268" w:type="dxa"/>
            <w:shd w:val="clear" w:color="auto" w:fill="auto"/>
            <w:vAlign w:val="center"/>
          </w:tcPr>
          <w:p w14:paraId="47EE97E6"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None</w:t>
            </w:r>
          </w:p>
        </w:tc>
        <w:tc>
          <w:tcPr>
            <w:tcW w:w="2126" w:type="dxa"/>
            <w:shd w:val="clear" w:color="auto" w:fill="E7EEF5"/>
            <w:vAlign w:val="center"/>
          </w:tcPr>
          <w:p w14:paraId="27462055"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Not specified</w:t>
            </w:r>
          </w:p>
        </w:tc>
      </w:tr>
      <w:tr w:rsidR="001B2E26" w:rsidRPr="00AA647B" w14:paraId="650C1BF1" w14:textId="77777777" w:rsidTr="00DE00E2">
        <w:trPr>
          <w:trHeight w:val="392"/>
        </w:trPr>
        <w:tc>
          <w:tcPr>
            <w:tcW w:w="1809" w:type="dxa"/>
            <w:shd w:val="clear" w:color="auto" w:fill="auto"/>
            <w:vAlign w:val="center"/>
          </w:tcPr>
          <w:p w14:paraId="38C660C7" w14:textId="77777777" w:rsidR="001B2E26" w:rsidRPr="00AA647B" w:rsidRDefault="001B2E26" w:rsidP="00DE00E2">
            <w:pPr>
              <w:jc w:val="right"/>
              <w:rPr>
                <w:rFonts w:ascii="Century Gothic" w:hAnsi="Century Gothic"/>
                <w:b/>
                <w:color w:val="000000" w:themeColor="text1"/>
                <w:sz w:val="20"/>
                <w:szCs w:val="20"/>
              </w:rPr>
            </w:pPr>
            <w:r w:rsidRPr="00AA647B">
              <w:rPr>
                <w:rFonts w:ascii="Century Gothic" w:hAnsi="Century Gothic"/>
                <w:b/>
                <w:color w:val="000000" w:themeColor="text1"/>
                <w:sz w:val="20"/>
                <w:szCs w:val="20"/>
              </w:rPr>
              <w:t>Gel use:</w:t>
            </w:r>
          </w:p>
        </w:tc>
        <w:tc>
          <w:tcPr>
            <w:tcW w:w="2127" w:type="dxa"/>
            <w:shd w:val="clear" w:color="auto" w:fill="auto"/>
            <w:vAlign w:val="center"/>
          </w:tcPr>
          <w:p w14:paraId="2D7B90EE"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Single use sterile</w:t>
            </w:r>
          </w:p>
        </w:tc>
        <w:tc>
          <w:tcPr>
            <w:tcW w:w="2693" w:type="dxa"/>
            <w:shd w:val="clear" w:color="auto" w:fill="auto"/>
            <w:vAlign w:val="center"/>
          </w:tcPr>
          <w:p w14:paraId="7873BDBE"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Single use non-sterile</w:t>
            </w:r>
          </w:p>
        </w:tc>
        <w:tc>
          <w:tcPr>
            <w:tcW w:w="2268" w:type="dxa"/>
            <w:shd w:val="clear" w:color="auto" w:fill="auto"/>
            <w:vAlign w:val="center"/>
          </w:tcPr>
          <w:p w14:paraId="0B432693"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Multiuse bottle</w:t>
            </w:r>
          </w:p>
        </w:tc>
        <w:tc>
          <w:tcPr>
            <w:tcW w:w="2126" w:type="dxa"/>
            <w:shd w:val="clear" w:color="auto" w:fill="E7EEF5"/>
            <w:vAlign w:val="center"/>
          </w:tcPr>
          <w:p w14:paraId="2A2B9551"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Not specified</w:t>
            </w:r>
          </w:p>
        </w:tc>
      </w:tr>
    </w:tbl>
    <w:p w14:paraId="1C98CC63" w14:textId="77777777" w:rsidR="001B2E26" w:rsidRPr="00AA647B" w:rsidRDefault="001B2E26" w:rsidP="001B2E26">
      <w:pPr>
        <w:spacing w:after="0" w:line="240" w:lineRule="auto"/>
        <w:rPr>
          <w:rFonts w:ascii="Century Gothic" w:hAnsi="Century Gothic"/>
          <w:b/>
          <w:color w:val="000000" w:themeColor="text1"/>
        </w:rPr>
      </w:pPr>
    </w:p>
    <w:p w14:paraId="2CE5B1A8" w14:textId="77777777" w:rsidR="001B2E26" w:rsidRPr="00AA647B" w:rsidRDefault="001B2E26" w:rsidP="001B2E26">
      <w:pPr>
        <w:spacing w:after="0" w:line="240" w:lineRule="auto"/>
        <w:rPr>
          <w:rFonts w:ascii="Century Gothic" w:hAnsi="Century Gothic"/>
          <w:b/>
          <w:color w:val="000000" w:themeColor="text1"/>
        </w:rPr>
      </w:pPr>
      <w:r w:rsidRPr="00AA647B">
        <w:rPr>
          <w:rFonts w:ascii="Century Gothic" w:hAnsi="Century Gothic"/>
          <w:b/>
          <w:color w:val="000000" w:themeColor="text1"/>
        </w:rPr>
        <w:t xml:space="preserve">3. Assess Your Policy. </w:t>
      </w:r>
      <w:r w:rsidRPr="00AA647B">
        <w:rPr>
          <w:rFonts w:ascii="Century Gothic" w:hAnsi="Century Gothic"/>
          <w:color w:val="000000" w:themeColor="text1"/>
        </w:rPr>
        <w:t>Is the policy consistent with manufacturer instructions for use and guideline recommendations for this procedure? Refer to Tool 2 for procedure specific information.</w:t>
      </w:r>
    </w:p>
    <w:p w14:paraId="02DD3CA6" w14:textId="77777777" w:rsidR="001B2E26" w:rsidRPr="00AA647B" w:rsidRDefault="001B2E26" w:rsidP="001B2E26">
      <w:pPr>
        <w:spacing w:after="0" w:line="240" w:lineRule="auto"/>
        <w:rPr>
          <w:rFonts w:ascii="Century Gothic" w:hAnsi="Century Gothic"/>
          <w:color w:val="000000" w:themeColor="text1"/>
          <w:sz w:val="8"/>
          <w:szCs w:val="8"/>
        </w:rPr>
      </w:pPr>
    </w:p>
    <w:tbl>
      <w:tblPr>
        <w:tblStyle w:val="TableGrid31"/>
        <w:tblW w:w="11020" w:type="dxa"/>
        <w:tblInd w:w="3" w:type="dxa"/>
        <w:tblBorders>
          <w:insideH w:val="none" w:sz="0" w:space="0" w:color="auto"/>
          <w:insideV w:val="none" w:sz="0" w:space="0" w:color="auto"/>
        </w:tblBorders>
        <w:tblLayout w:type="fixed"/>
        <w:tblLook w:val="04A0" w:firstRow="1" w:lastRow="0" w:firstColumn="1" w:lastColumn="0" w:noHBand="0" w:noVBand="1"/>
      </w:tblPr>
      <w:tblGrid>
        <w:gridCol w:w="1806"/>
        <w:gridCol w:w="7088"/>
        <w:gridCol w:w="2126"/>
      </w:tblGrid>
      <w:tr w:rsidR="001B2E26" w:rsidRPr="00AA647B" w14:paraId="53D22CAA" w14:textId="77777777" w:rsidTr="00DE00E2">
        <w:trPr>
          <w:trHeight w:val="388"/>
        </w:trPr>
        <w:tc>
          <w:tcPr>
            <w:tcW w:w="1806" w:type="dxa"/>
            <w:shd w:val="clear" w:color="auto" w:fill="auto"/>
            <w:vAlign w:val="center"/>
          </w:tcPr>
          <w:p w14:paraId="7C6C4BC5"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Yes</w:t>
            </w:r>
          </w:p>
        </w:tc>
        <w:tc>
          <w:tcPr>
            <w:tcW w:w="7088" w:type="dxa"/>
            <w:shd w:val="clear" w:color="auto" w:fill="auto"/>
            <w:vAlign w:val="center"/>
          </w:tcPr>
          <w:p w14:paraId="61A3CFDC"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 but policy contains justification for deviation</w:t>
            </w:r>
          </w:p>
        </w:tc>
        <w:tc>
          <w:tcPr>
            <w:tcW w:w="2126" w:type="dxa"/>
            <w:shd w:val="clear" w:color="auto" w:fill="E7EEF5"/>
            <w:vAlign w:val="center"/>
          </w:tcPr>
          <w:p w14:paraId="646A0F19"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w:t>
            </w:r>
          </w:p>
        </w:tc>
      </w:tr>
    </w:tbl>
    <w:p w14:paraId="410855E4" w14:textId="77777777" w:rsidR="001B2E26" w:rsidRPr="00AA647B" w:rsidRDefault="001B2E26" w:rsidP="001B2E26">
      <w:pPr>
        <w:spacing w:after="0" w:line="240" w:lineRule="auto"/>
        <w:rPr>
          <w:rFonts w:ascii="Century Gothic" w:hAnsi="Century Gothic"/>
          <w:color w:val="000000" w:themeColor="text1"/>
        </w:rPr>
      </w:pPr>
    </w:p>
    <w:p w14:paraId="77D3E763" w14:textId="77777777" w:rsidR="001B2E26" w:rsidRPr="00AA647B" w:rsidRDefault="001B2E26" w:rsidP="001B2E26">
      <w:pPr>
        <w:spacing w:after="0" w:line="240" w:lineRule="auto"/>
        <w:rPr>
          <w:rFonts w:ascii="Century Gothic" w:hAnsi="Century Gothic"/>
          <w:b/>
          <w:color w:val="000000" w:themeColor="text1"/>
        </w:rPr>
      </w:pPr>
      <w:r w:rsidRPr="00AA647B">
        <w:rPr>
          <w:rFonts w:ascii="Century Gothic" w:hAnsi="Century Gothic"/>
          <w:b/>
          <w:color w:val="000000" w:themeColor="text1"/>
        </w:rPr>
        <w:t xml:space="preserve">4. Observe Practice. </w:t>
      </w:r>
      <w:r w:rsidRPr="00AA647B">
        <w:rPr>
          <w:rFonts w:ascii="Century Gothic" w:hAnsi="Century Gothic"/>
          <w:color w:val="000000" w:themeColor="text1"/>
        </w:rPr>
        <w:t>How is the probe reprocessed and used by the end users for this procedure?</w:t>
      </w:r>
    </w:p>
    <w:p w14:paraId="1760BFD2" w14:textId="77777777" w:rsidR="001B2E26" w:rsidRPr="00AA647B" w:rsidRDefault="001B2E26" w:rsidP="001B2E26">
      <w:pPr>
        <w:spacing w:after="0" w:line="240" w:lineRule="auto"/>
        <w:rPr>
          <w:rFonts w:ascii="Century Gothic" w:hAnsi="Century Gothic"/>
          <w:color w:val="000000" w:themeColor="text1"/>
          <w:sz w:val="8"/>
          <w:szCs w:val="8"/>
        </w:rPr>
      </w:pPr>
    </w:p>
    <w:tbl>
      <w:tblPr>
        <w:tblStyle w:val="TableGrid31"/>
        <w:tblW w:w="11023" w:type="dxa"/>
        <w:tblBorders>
          <w:insideH w:val="none" w:sz="0" w:space="0" w:color="auto"/>
          <w:insideV w:val="none" w:sz="0" w:space="0" w:color="auto"/>
        </w:tblBorders>
        <w:tblLayout w:type="fixed"/>
        <w:tblLook w:val="04A0" w:firstRow="1" w:lastRow="0" w:firstColumn="1" w:lastColumn="0" w:noHBand="0" w:noVBand="1"/>
      </w:tblPr>
      <w:tblGrid>
        <w:gridCol w:w="1809"/>
        <w:gridCol w:w="2127"/>
        <w:gridCol w:w="2693"/>
        <w:gridCol w:w="4394"/>
      </w:tblGrid>
      <w:tr w:rsidR="001B2E26" w:rsidRPr="00AA647B" w14:paraId="357480DE" w14:textId="77777777" w:rsidTr="00DE00E2">
        <w:trPr>
          <w:trHeight w:val="374"/>
        </w:trPr>
        <w:tc>
          <w:tcPr>
            <w:tcW w:w="1809" w:type="dxa"/>
            <w:shd w:val="clear" w:color="auto" w:fill="auto"/>
            <w:vAlign w:val="center"/>
          </w:tcPr>
          <w:p w14:paraId="75ABA2B1" w14:textId="77777777" w:rsidR="001B2E26" w:rsidRPr="00AA647B" w:rsidRDefault="001B2E26" w:rsidP="00DE00E2">
            <w:pPr>
              <w:jc w:val="right"/>
              <w:rPr>
                <w:rFonts w:ascii="Century Gothic" w:hAnsi="Century Gothic"/>
                <w:b/>
                <w:color w:val="000000" w:themeColor="text1"/>
                <w:sz w:val="20"/>
                <w:szCs w:val="20"/>
              </w:rPr>
            </w:pPr>
            <w:r w:rsidRPr="00AA647B">
              <w:rPr>
                <w:rFonts w:ascii="Century Gothic" w:hAnsi="Century Gothic"/>
                <w:b/>
                <w:color w:val="000000" w:themeColor="text1"/>
                <w:sz w:val="20"/>
                <w:szCs w:val="20"/>
              </w:rPr>
              <w:t>Reprocessing:</w:t>
            </w:r>
          </w:p>
        </w:tc>
        <w:tc>
          <w:tcPr>
            <w:tcW w:w="2127" w:type="dxa"/>
            <w:shd w:val="clear" w:color="auto" w:fill="auto"/>
            <w:vAlign w:val="center"/>
          </w:tcPr>
          <w:p w14:paraId="548D6479"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Sterilized</w:t>
            </w:r>
          </w:p>
        </w:tc>
        <w:tc>
          <w:tcPr>
            <w:tcW w:w="2693" w:type="dxa"/>
            <w:shd w:val="clear" w:color="auto" w:fill="auto"/>
            <w:vAlign w:val="center"/>
          </w:tcPr>
          <w:p w14:paraId="4F545FAE"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HLD</w:t>
            </w:r>
          </w:p>
        </w:tc>
        <w:tc>
          <w:tcPr>
            <w:tcW w:w="4394" w:type="dxa"/>
            <w:shd w:val="clear" w:color="auto" w:fill="auto"/>
            <w:vAlign w:val="center"/>
          </w:tcPr>
          <w:p w14:paraId="72E77B5D"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LLD/ILD</w:t>
            </w:r>
          </w:p>
        </w:tc>
      </w:tr>
      <w:tr w:rsidR="001B2E26" w:rsidRPr="00AA647B" w14:paraId="2216B836" w14:textId="77777777" w:rsidTr="00DE00E2">
        <w:trPr>
          <w:trHeight w:val="445"/>
        </w:trPr>
        <w:tc>
          <w:tcPr>
            <w:tcW w:w="1809" w:type="dxa"/>
            <w:shd w:val="clear" w:color="auto" w:fill="auto"/>
            <w:vAlign w:val="center"/>
          </w:tcPr>
          <w:p w14:paraId="518095A5" w14:textId="77777777" w:rsidR="001B2E26" w:rsidRPr="00AA647B" w:rsidRDefault="001B2E26" w:rsidP="00DE00E2">
            <w:pPr>
              <w:jc w:val="right"/>
              <w:rPr>
                <w:rFonts w:ascii="Century Gothic" w:hAnsi="Century Gothic"/>
                <w:b/>
                <w:color w:val="000000" w:themeColor="text1"/>
                <w:sz w:val="20"/>
                <w:szCs w:val="20"/>
              </w:rPr>
            </w:pPr>
            <w:r w:rsidRPr="00AA647B">
              <w:rPr>
                <w:rFonts w:ascii="Century Gothic" w:hAnsi="Century Gothic"/>
                <w:b/>
                <w:color w:val="000000" w:themeColor="text1"/>
                <w:sz w:val="20"/>
                <w:szCs w:val="20"/>
              </w:rPr>
              <w:t>Cover use:</w:t>
            </w:r>
          </w:p>
        </w:tc>
        <w:tc>
          <w:tcPr>
            <w:tcW w:w="2127" w:type="dxa"/>
            <w:shd w:val="clear" w:color="auto" w:fill="auto"/>
            <w:vAlign w:val="center"/>
          </w:tcPr>
          <w:p w14:paraId="4CF9C258"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Sterile</w:t>
            </w:r>
          </w:p>
        </w:tc>
        <w:tc>
          <w:tcPr>
            <w:tcW w:w="2693" w:type="dxa"/>
            <w:shd w:val="clear" w:color="auto" w:fill="auto"/>
            <w:vAlign w:val="center"/>
          </w:tcPr>
          <w:p w14:paraId="24A176EC"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Single use non-sterile</w:t>
            </w:r>
          </w:p>
        </w:tc>
        <w:tc>
          <w:tcPr>
            <w:tcW w:w="4394" w:type="dxa"/>
            <w:shd w:val="clear" w:color="auto" w:fill="auto"/>
            <w:vAlign w:val="center"/>
          </w:tcPr>
          <w:p w14:paraId="615C041D"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None</w:t>
            </w:r>
          </w:p>
        </w:tc>
      </w:tr>
      <w:tr w:rsidR="001B2E26" w:rsidRPr="00AA647B" w14:paraId="52D4AF9D" w14:textId="77777777" w:rsidTr="00DE00E2">
        <w:trPr>
          <w:trHeight w:val="410"/>
        </w:trPr>
        <w:tc>
          <w:tcPr>
            <w:tcW w:w="1809" w:type="dxa"/>
            <w:shd w:val="clear" w:color="auto" w:fill="auto"/>
            <w:vAlign w:val="center"/>
          </w:tcPr>
          <w:p w14:paraId="5CA5A3C4" w14:textId="77777777" w:rsidR="001B2E26" w:rsidRPr="00AA647B" w:rsidRDefault="001B2E26" w:rsidP="00DE00E2">
            <w:pPr>
              <w:jc w:val="right"/>
              <w:rPr>
                <w:rFonts w:ascii="Century Gothic" w:hAnsi="Century Gothic"/>
                <w:b/>
                <w:color w:val="000000" w:themeColor="text1"/>
                <w:sz w:val="20"/>
                <w:szCs w:val="20"/>
              </w:rPr>
            </w:pPr>
            <w:r w:rsidRPr="00AA647B">
              <w:rPr>
                <w:rFonts w:ascii="Century Gothic" w:hAnsi="Century Gothic"/>
                <w:b/>
                <w:color w:val="000000" w:themeColor="text1"/>
                <w:sz w:val="20"/>
                <w:szCs w:val="20"/>
              </w:rPr>
              <w:t>Gel use:</w:t>
            </w:r>
          </w:p>
        </w:tc>
        <w:tc>
          <w:tcPr>
            <w:tcW w:w="2127" w:type="dxa"/>
            <w:shd w:val="clear" w:color="auto" w:fill="auto"/>
            <w:vAlign w:val="center"/>
          </w:tcPr>
          <w:p w14:paraId="5988803A"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Single use sterile</w:t>
            </w:r>
          </w:p>
        </w:tc>
        <w:tc>
          <w:tcPr>
            <w:tcW w:w="2693" w:type="dxa"/>
            <w:shd w:val="clear" w:color="auto" w:fill="auto"/>
            <w:vAlign w:val="center"/>
          </w:tcPr>
          <w:p w14:paraId="64AC0BBB"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Single use non-sterile</w:t>
            </w:r>
          </w:p>
        </w:tc>
        <w:tc>
          <w:tcPr>
            <w:tcW w:w="4394" w:type="dxa"/>
            <w:shd w:val="clear" w:color="auto" w:fill="auto"/>
            <w:vAlign w:val="center"/>
          </w:tcPr>
          <w:p w14:paraId="374AFCE5"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Multiuse bottle</w:t>
            </w:r>
          </w:p>
        </w:tc>
      </w:tr>
    </w:tbl>
    <w:p w14:paraId="4461EC62" w14:textId="77777777" w:rsidR="001B2E26" w:rsidRPr="00AA647B" w:rsidRDefault="001B2E26" w:rsidP="001B2E26">
      <w:pPr>
        <w:spacing w:after="0" w:line="240" w:lineRule="auto"/>
        <w:rPr>
          <w:rFonts w:ascii="Century Gothic" w:hAnsi="Century Gothic"/>
          <w:color w:val="000000" w:themeColor="text1"/>
        </w:rPr>
      </w:pPr>
    </w:p>
    <w:p w14:paraId="7BB636FA" w14:textId="77777777" w:rsidR="001B2E26" w:rsidRPr="00AA647B" w:rsidRDefault="001B2E26" w:rsidP="001B2E26">
      <w:pPr>
        <w:spacing w:after="0" w:line="240" w:lineRule="auto"/>
        <w:rPr>
          <w:rFonts w:ascii="Century Gothic" w:hAnsi="Century Gothic"/>
          <w:color w:val="000000" w:themeColor="text1"/>
        </w:rPr>
      </w:pPr>
      <w:r w:rsidRPr="00AA647B">
        <w:rPr>
          <w:rFonts w:ascii="Century Gothic" w:hAnsi="Century Gothic"/>
          <w:b/>
          <w:color w:val="000000" w:themeColor="text1"/>
        </w:rPr>
        <w:t xml:space="preserve">5. Assess Practice. </w:t>
      </w:r>
      <w:r w:rsidRPr="00AA647B">
        <w:rPr>
          <w:rFonts w:ascii="Century Gothic" w:hAnsi="Century Gothic"/>
          <w:color w:val="000000" w:themeColor="text1"/>
        </w:rPr>
        <w:t xml:space="preserve">Is the observed practice compliant with your policy? </w:t>
      </w:r>
    </w:p>
    <w:p w14:paraId="18680AAF" w14:textId="77777777" w:rsidR="001B2E26" w:rsidRPr="00AA647B" w:rsidRDefault="001B2E26" w:rsidP="001B2E26">
      <w:pPr>
        <w:spacing w:after="0" w:line="240" w:lineRule="auto"/>
        <w:rPr>
          <w:rFonts w:ascii="Century Gothic" w:hAnsi="Century Gothic"/>
          <w:color w:val="000000" w:themeColor="text1"/>
          <w:sz w:val="8"/>
          <w:szCs w:val="8"/>
        </w:rPr>
      </w:pPr>
    </w:p>
    <w:tbl>
      <w:tblPr>
        <w:tblStyle w:val="TableGrid31"/>
        <w:tblW w:w="0" w:type="auto"/>
        <w:tblInd w:w="3" w:type="dxa"/>
        <w:tblBorders>
          <w:insideH w:val="none" w:sz="0" w:space="0" w:color="auto"/>
          <w:insideV w:val="none" w:sz="0" w:space="0" w:color="auto"/>
        </w:tblBorders>
        <w:tblLayout w:type="fixed"/>
        <w:tblLook w:val="04A0" w:firstRow="1" w:lastRow="0" w:firstColumn="1" w:lastColumn="0" w:noHBand="0" w:noVBand="1"/>
      </w:tblPr>
      <w:tblGrid>
        <w:gridCol w:w="3933"/>
        <w:gridCol w:w="2693"/>
        <w:gridCol w:w="4394"/>
      </w:tblGrid>
      <w:tr w:rsidR="001B2E26" w:rsidRPr="00AA647B" w14:paraId="121B19E1" w14:textId="77777777" w:rsidTr="00DE00E2">
        <w:trPr>
          <w:trHeight w:val="400"/>
        </w:trPr>
        <w:tc>
          <w:tcPr>
            <w:tcW w:w="3933" w:type="dxa"/>
            <w:shd w:val="clear" w:color="auto" w:fill="auto"/>
            <w:vAlign w:val="center"/>
          </w:tcPr>
          <w:p w14:paraId="6A6EAAC5"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Yes</w:t>
            </w:r>
          </w:p>
        </w:tc>
        <w:tc>
          <w:tcPr>
            <w:tcW w:w="2693" w:type="dxa"/>
            <w:shd w:val="clear" w:color="auto" w:fill="E7EEF5"/>
            <w:vAlign w:val="center"/>
          </w:tcPr>
          <w:p w14:paraId="329A478C"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w:t>
            </w:r>
          </w:p>
        </w:tc>
        <w:tc>
          <w:tcPr>
            <w:tcW w:w="4394" w:type="dxa"/>
            <w:shd w:val="clear" w:color="auto" w:fill="E7EEF5"/>
            <w:vAlign w:val="center"/>
          </w:tcPr>
          <w:p w14:paraId="63B782A0"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 policy in place</w:t>
            </w:r>
          </w:p>
        </w:tc>
      </w:tr>
    </w:tbl>
    <w:p w14:paraId="4266A36C" w14:textId="51C54198" w:rsidR="001B2E26" w:rsidRPr="00AA647B" w:rsidRDefault="00033CC0" w:rsidP="001B2E26">
      <w:pPr>
        <w:spacing w:after="0" w:line="240" w:lineRule="auto"/>
        <w:rPr>
          <w:rFonts w:ascii="Century Gothic" w:hAnsi="Century Gothic"/>
          <w:b/>
          <w:color w:val="000000" w:themeColor="text1"/>
        </w:rPr>
      </w:pPr>
      <w:r>
        <w:rPr>
          <w:rFonts w:ascii="Century Gothic" w:hAnsi="Century Gothic"/>
          <w:color w:val="000000" w:themeColor="text1"/>
        </w:rPr>
        <w:br/>
      </w:r>
      <w:r w:rsidR="001B2E26" w:rsidRPr="00AA647B">
        <w:rPr>
          <w:rFonts w:ascii="Century Gothic" w:hAnsi="Century Gothic"/>
          <w:b/>
          <w:color w:val="000000" w:themeColor="text1"/>
        </w:rPr>
        <w:t>6. Were any shaded options selected?</w:t>
      </w:r>
    </w:p>
    <w:p w14:paraId="769849A9" w14:textId="77777777" w:rsidR="001B2E26" w:rsidRPr="00AA647B" w:rsidRDefault="001B2E26" w:rsidP="001B2E26">
      <w:pPr>
        <w:spacing w:after="0" w:line="240" w:lineRule="auto"/>
        <w:rPr>
          <w:rFonts w:ascii="Century Gothic" w:hAnsi="Century Gothic"/>
          <w:color w:val="000000" w:themeColor="text1"/>
          <w:sz w:val="8"/>
          <w:szCs w:val="8"/>
        </w:rPr>
      </w:pPr>
    </w:p>
    <w:tbl>
      <w:tblPr>
        <w:tblStyle w:val="TableGrid31"/>
        <w:tblW w:w="11020" w:type="dxa"/>
        <w:tblInd w:w="3" w:type="dxa"/>
        <w:tblBorders>
          <w:insideH w:val="none" w:sz="0" w:space="0" w:color="auto"/>
          <w:insideV w:val="none" w:sz="0" w:space="0" w:color="auto"/>
        </w:tblBorders>
        <w:tblLayout w:type="fixed"/>
        <w:tblLook w:val="04A0" w:firstRow="1" w:lastRow="0" w:firstColumn="1" w:lastColumn="0" w:noHBand="0" w:noVBand="1"/>
      </w:tblPr>
      <w:tblGrid>
        <w:gridCol w:w="3933"/>
        <w:gridCol w:w="7087"/>
      </w:tblGrid>
      <w:tr w:rsidR="001B2E26" w:rsidRPr="00AA647B" w14:paraId="730C2DAA" w14:textId="77777777" w:rsidTr="00DE00E2">
        <w:trPr>
          <w:trHeight w:val="797"/>
        </w:trPr>
        <w:tc>
          <w:tcPr>
            <w:tcW w:w="3933" w:type="dxa"/>
            <w:shd w:val="clear" w:color="auto" w:fill="auto"/>
          </w:tcPr>
          <w:p w14:paraId="4B4EDA05"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xml:space="preserve">□ Yes. </w:t>
            </w:r>
            <w:r w:rsidRPr="00AA647B">
              <w:rPr>
                <w:rFonts w:ascii="Century Gothic" w:hAnsi="Century Gothic"/>
                <w:b/>
                <w:color w:val="000000" w:themeColor="text1"/>
              </w:rPr>
              <w:t xml:space="preserve">Go to Q7. </w:t>
            </w:r>
          </w:p>
        </w:tc>
        <w:tc>
          <w:tcPr>
            <w:tcW w:w="7087" w:type="dxa"/>
          </w:tcPr>
          <w:p w14:paraId="2B0ED4F3" w14:textId="77777777"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 No. Congratulations, your policy and practice are compliant. No further action needed. File this form</w:t>
            </w:r>
            <w:r>
              <w:rPr>
                <w:rFonts w:ascii="Century Gothic" w:hAnsi="Century Gothic"/>
                <w:color w:val="000000" w:themeColor="text1"/>
              </w:rPr>
              <w:t xml:space="preserve"> and</w:t>
            </w:r>
            <w:r w:rsidRPr="00AA647B">
              <w:rPr>
                <w:rFonts w:ascii="Century Gothic" w:hAnsi="Century Gothic"/>
                <w:color w:val="000000" w:themeColor="text1"/>
              </w:rPr>
              <w:t xml:space="preserve"> ensure ongoing training for all users.</w:t>
            </w:r>
          </w:p>
        </w:tc>
      </w:tr>
    </w:tbl>
    <w:p w14:paraId="3540C639" w14:textId="77777777" w:rsidR="001B2E26" w:rsidRPr="00AA647B" w:rsidRDefault="001B2E26" w:rsidP="001B2E26">
      <w:pPr>
        <w:spacing w:after="0" w:line="240" w:lineRule="auto"/>
        <w:rPr>
          <w:rFonts w:ascii="Century Gothic" w:hAnsi="Century Gothic"/>
          <w:color w:val="000000" w:themeColor="text1"/>
          <w:sz w:val="8"/>
          <w:szCs w:val="8"/>
        </w:rPr>
      </w:pPr>
    </w:p>
    <w:p w14:paraId="7A445C7A" w14:textId="49546FED" w:rsidR="001B2E26" w:rsidRPr="00033CC0" w:rsidRDefault="001B2E26" w:rsidP="001B2E26">
      <w:pPr>
        <w:spacing w:after="0" w:line="240" w:lineRule="auto"/>
        <w:rPr>
          <w:rFonts w:ascii="Century Gothic" w:hAnsi="Century Gothic"/>
          <w:color w:val="000000" w:themeColor="text1"/>
        </w:rPr>
      </w:pPr>
      <w:r w:rsidRPr="00AA647B">
        <w:rPr>
          <w:rFonts w:ascii="Century Gothic" w:hAnsi="Century Gothic"/>
          <w:b/>
          <w:color w:val="000000" w:themeColor="text1"/>
        </w:rPr>
        <w:t xml:space="preserve">7. Action Plan Required. </w:t>
      </w:r>
      <w:r w:rsidRPr="00AA647B">
        <w:rPr>
          <w:rFonts w:ascii="Century Gothic" w:hAnsi="Century Gothic"/>
          <w:color w:val="000000" w:themeColor="text1"/>
        </w:rPr>
        <w:t>Your policy needs updating or users are not trained according to your policy/procedure. Note action and effectiveness review date below for each shaded option.</w:t>
      </w:r>
    </w:p>
    <w:tbl>
      <w:tblPr>
        <w:tblStyle w:val="TableGrid31"/>
        <w:tblW w:w="10998" w:type="dxa"/>
        <w:tblInd w:w="3" w:type="dxa"/>
        <w:tblBorders>
          <w:insideH w:val="none" w:sz="0" w:space="0" w:color="auto"/>
          <w:insideV w:val="none" w:sz="0" w:space="0" w:color="auto"/>
        </w:tblBorders>
        <w:tblLayout w:type="fixed"/>
        <w:tblLook w:val="04A0" w:firstRow="1" w:lastRow="0" w:firstColumn="1" w:lastColumn="0" w:noHBand="0" w:noVBand="1"/>
      </w:tblPr>
      <w:tblGrid>
        <w:gridCol w:w="10998"/>
      </w:tblGrid>
      <w:tr w:rsidR="001B2E26" w:rsidRPr="00AA647B" w14:paraId="1977D021" w14:textId="77777777" w:rsidTr="00033CC0">
        <w:trPr>
          <w:trHeight w:val="563"/>
        </w:trPr>
        <w:tc>
          <w:tcPr>
            <w:tcW w:w="10998" w:type="dxa"/>
            <w:shd w:val="clear" w:color="auto" w:fill="auto"/>
          </w:tcPr>
          <w:p w14:paraId="5407A17A" w14:textId="1772585D" w:rsidR="004B5086" w:rsidRDefault="00033CC0" w:rsidP="00DE00E2">
            <w:pPr>
              <w:rPr>
                <w:rFonts w:ascii="Century Gothic" w:hAnsi="Century Gothic"/>
                <w:color w:val="000000" w:themeColor="text1"/>
              </w:rPr>
            </w:pPr>
            <w:r>
              <w:rPr>
                <w:rFonts w:ascii="Century Gothic" w:hAnsi="Century Gothic"/>
                <w:color w:val="000000" w:themeColor="text1"/>
              </w:rPr>
              <w:br/>
            </w:r>
          </w:p>
          <w:p w14:paraId="0E882ECB" w14:textId="169B047B" w:rsidR="001B2E26" w:rsidRPr="00AA647B" w:rsidRDefault="001B2E26" w:rsidP="00DE00E2">
            <w:pPr>
              <w:rPr>
                <w:rFonts w:ascii="Century Gothic" w:hAnsi="Century Gothic"/>
                <w:color w:val="000000" w:themeColor="text1"/>
              </w:rPr>
            </w:pPr>
            <w:r w:rsidRPr="00AA647B">
              <w:rPr>
                <w:rFonts w:ascii="Century Gothic" w:hAnsi="Century Gothic"/>
                <w:color w:val="000000" w:themeColor="text1"/>
              </w:rPr>
              <w:t>Effectiveness Review Date: ___/___/___</w:t>
            </w:r>
          </w:p>
        </w:tc>
      </w:tr>
    </w:tbl>
    <w:p w14:paraId="7B719F52" w14:textId="77777777" w:rsidR="00560D82" w:rsidRPr="00560D82" w:rsidRDefault="00560D82" w:rsidP="00560D82">
      <w:pPr>
        <w:rPr>
          <w:sz w:val="2"/>
          <w:szCs w:val="2"/>
        </w:rPr>
      </w:pPr>
    </w:p>
    <w:sectPr w:rsidR="00560D82" w:rsidRPr="00560D82" w:rsidSect="00033CC0">
      <w:pgSz w:w="12240" w:h="15840"/>
      <w:pgMar w:top="567" w:right="567" w:bottom="567" w:left="56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0123C" w14:textId="77777777" w:rsidR="00E5175C" w:rsidRDefault="00E5175C">
      <w:pPr>
        <w:spacing w:after="0" w:line="240" w:lineRule="auto"/>
      </w:pPr>
      <w:r>
        <w:separator/>
      </w:r>
    </w:p>
  </w:endnote>
  <w:endnote w:type="continuationSeparator" w:id="0">
    <w:p w14:paraId="304C506F" w14:textId="77777777" w:rsidR="00E5175C" w:rsidRDefault="00E5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331"/>
      <w:docPartObj>
        <w:docPartGallery w:val="Page Numbers (Bottom of Page)"/>
        <w:docPartUnique/>
      </w:docPartObj>
    </w:sdtPr>
    <w:sdtEndPr>
      <w:rPr>
        <w:noProof/>
      </w:rPr>
    </w:sdtEndPr>
    <w:sdtContent>
      <w:p w14:paraId="4F059D8E" w14:textId="399BE6B7" w:rsidR="007872A2" w:rsidRDefault="004B5086">
        <w:pPr>
          <w:pStyle w:val="Footer"/>
          <w:jc w:val="right"/>
        </w:pPr>
        <w:r>
          <w:fldChar w:fldCharType="begin"/>
        </w:r>
        <w:r>
          <w:instrText xml:space="preserve"> PAGE   \* MERGEFORMAT </w:instrText>
        </w:r>
        <w:r>
          <w:fldChar w:fldCharType="separate"/>
        </w:r>
        <w:r w:rsidR="005A2664">
          <w:rPr>
            <w:noProof/>
          </w:rPr>
          <w:t>8</w:t>
        </w:r>
        <w:r>
          <w:rPr>
            <w:noProof/>
          </w:rPr>
          <w:fldChar w:fldCharType="end"/>
        </w:r>
      </w:p>
    </w:sdtContent>
  </w:sdt>
  <w:p w14:paraId="257A1E97" w14:textId="77777777" w:rsidR="007872A2" w:rsidRDefault="005A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E064" w14:textId="77777777" w:rsidR="007872A2" w:rsidRDefault="005A2664">
    <w:pPr>
      <w:pStyle w:val="Footer"/>
      <w:jc w:val="right"/>
    </w:pPr>
  </w:p>
  <w:p w14:paraId="1A95FCB3" w14:textId="77777777" w:rsidR="007872A2" w:rsidRDefault="005A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A305" w14:textId="77777777" w:rsidR="00E5175C" w:rsidRDefault="00E5175C">
      <w:pPr>
        <w:spacing w:after="0" w:line="240" w:lineRule="auto"/>
      </w:pPr>
      <w:r>
        <w:separator/>
      </w:r>
    </w:p>
  </w:footnote>
  <w:footnote w:type="continuationSeparator" w:id="0">
    <w:p w14:paraId="1D340F56" w14:textId="77777777" w:rsidR="00E5175C" w:rsidRDefault="00E51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FABC" w14:textId="77777777" w:rsidR="007872A2" w:rsidRDefault="005A2664" w:rsidP="000215B3">
    <w:pPr>
      <w:pStyle w:val="Header"/>
      <w:tabs>
        <w:tab w:val="clear" w:pos="9360"/>
        <w:tab w:val="left" w:pos="9356"/>
      </w:tabs>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964"/>
    <w:multiLevelType w:val="hybridMultilevel"/>
    <w:tmpl w:val="D6C830E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ocumentProtection w:edit="forms" w:enforcement="1" w:cryptProviderType="rsaAES" w:cryptAlgorithmClass="hash" w:cryptAlgorithmType="typeAny" w:cryptAlgorithmSid="14" w:cryptSpinCount="100000" w:hash="xAZku1CxKe1emqU9gXmumyywwoUoUptS0k9xLRMXC0XQaUaE/NGvMVIp152aMCPpZxUnWS3nYKTMK0qSylIoNg==" w:salt="vXHwoHXjBS7ppIKxsTTi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26"/>
    <w:rsid w:val="00033CC0"/>
    <w:rsid w:val="000B62FD"/>
    <w:rsid w:val="001B2E26"/>
    <w:rsid w:val="0024686F"/>
    <w:rsid w:val="00294BF2"/>
    <w:rsid w:val="00357496"/>
    <w:rsid w:val="004B5086"/>
    <w:rsid w:val="00560D82"/>
    <w:rsid w:val="005A2664"/>
    <w:rsid w:val="005F5775"/>
    <w:rsid w:val="00660B78"/>
    <w:rsid w:val="006F0989"/>
    <w:rsid w:val="008559F4"/>
    <w:rsid w:val="0088724D"/>
    <w:rsid w:val="008E5840"/>
    <w:rsid w:val="00902C77"/>
    <w:rsid w:val="00C51DDD"/>
    <w:rsid w:val="00E0436B"/>
    <w:rsid w:val="00E238D2"/>
    <w:rsid w:val="00E5175C"/>
    <w:rsid w:val="00EC4732"/>
    <w:rsid w:val="00F8038D"/>
    <w:rsid w:val="00F82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7674"/>
  <w15:chartTrackingRefBased/>
  <w15:docId w15:val="{4173DCEA-7F6C-6B41-802D-D8DFFEC6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2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E2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B2E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E26"/>
    <w:rPr>
      <w:rFonts w:ascii="Times New Roman" w:hAnsi="Times New Roman" w:cs="Times New Roman"/>
      <w:sz w:val="18"/>
      <w:szCs w:val="18"/>
      <w:lang w:val="en-US"/>
    </w:rPr>
  </w:style>
  <w:style w:type="paragraph" w:styleId="Header">
    <w:name w:val="header"/>
    <w:basedOn w:val="Normal"/>
    <w:link w:val="HeaderChar"/>
    <w:uiPriority w:val="99"/>
    <w:unhideWhenUsed/>
    <w:rsid w:val="001B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26"/>
    <w:rPr>
      <w:sz w:val="22"/>
      <w:szCs w:val="22"/>
      <w:lang w:val="en-US"/>
    </w:rPr>
  </w:style>
  <w:style w:type="paragraph" w:styleId="Footer">
    <w:name w:val="footer"/>
    <w:basedOn w:val="Normal"/>
    <w:link w:val="FooterChar"/>
    <w:uiPriority w:val="99"/>
    <w:unhideWhenUsed/>
    <w:rsid w:val="001B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26"/>
    <w:rPr>
      <w:sz w:val="22"/>
      <w:szCs w:val="22"/>
      <w:lang w:val="en-US"/>
    </w:rPr>
  </w:style>
  <w:style w:type="table" w:customStyle="1" w:styleId="TableGrid31">
    <w:name w:val="Table Grid31"/>
    <w:basedOn w:val="TableNormal"/>
    <w:next w:val="TableGrid"/>
    <w:uiPriority w:val="39"/>
    <w:rsid w:val="001B2E2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1652-B0B9-4649-BCC5-11583686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McIntosh</dc:creator>
  <cp:keywords/>
  <dc:description/>
  <cp:lastModifiedBy>Author</cp:lastModifiedBy>
  <cp:revision>6</cp:revision>
  <cp:lastPrinted>2019-06-02T23:23:00Z</cp:lastPrinted>
  <dcterms:created xsi:type="dcterms:W3CDTF">2019-06-04T06:55:00Z</dcterms:created>
  <dcterms:modified xsi:type="dcterms:W3CDTF">2019-06-11T00:52:00Z</dcterms:modified>
</cp:coreProperties>
</file>