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C649C" w14:textId="77777777" w:rsidR="00625F2B" w:rsidRPr="00643760" w:rsidRDefault="00625F2B" w:rsidP="00625F2B">
      <w:pPr>
        <w:jc w:val="center"/>
        <w:rPr>
          <w:rFonts w:ascii="Century Gothic" w:eastAsiaTheme="minorEastAsia" w:hAnsi="Century Gothic" w:cs="Consolas"/>
          <w:b/>
          <w:bCs/>
          <w:kern w:val="24"/>
          <w:sz w:val="36"/>
          <w:szCs w:val="36"/>
        </w:rPr>
      </w:pPr>
    </w:p>
    <w:p w14:paraId="7B7C8EF5" w14:textId="77777777" w:rsidR="00D23C90" w:rsidRPr="00643760" w:rsidRDefault="00D23C90" w:rsidP="00625F2B">
      <w:pPr>
        <w:jc w:val="center"/>
        <w:rPr>
          <w:rFonts w:ascii="Century Gothic" w:eastAsiaTheme="minorEastAsia" w:hAnsi="Century Gothic" w:cs="Consolas"/>
          <w:b/>
          <w:bCs/>
          <w:kern w:val="24"/>
          <w:sz w:val="36"/>
          <w:szCs w:val="36"/>
        </w:rPr>
      </w:pPr>
    </w:p>
    <w:p w14:paraId="7485487C" w14:textId="77777777" w:rsidR="00625F2B" w:rsidRPr="00643760" w:rsidRDefault="00643760" w:rsidP="00625F2B">
      <w:pPr>
        <w:spacing w:after="0"/>
        <w:jc w:val="center"/>
        <w:rPr>
          <w:rFonts w:ascii="Century Gothic" w:eastAsiaTheme="minorEastAsia" w:hAnsi="Century Gothic" w:cs="Consolas"/>
          <w:b/>
          <w:bCs/>
          <w:kern w:val="24"/>
          <w:sz w:val="36"/>
          <w:szCs w:val="36"/>
        </w:rPr>
      </w:pPr>
      <w:r w:rsidRPr="00643760">
        <w:rPr>
          <w:rFonts w:ascii="Century Gothic" w:eastAsiaTheme="minorEastAsia" w:hAnsi="Century Gothic" w:cs="Consolas"/>
          <w:b/>
          <w:bCs/>
          <w:noProof/>
          <w:kern w:val="24"/>
          <w:sz w:val="36"/>
          <w:szCs w:val="36"/>
          <w:lang w:val="en-AU" w:eastAsia="en-AU"/>
        </w:rPr>
        <w:drawing>
          <wp:inline distT="0" distB="0" distL="0" distR="0" wp14:anchorId="5288D4F6" wp14:editId="665EC41F">
            <wp:extent cx="4165600" cy="226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PT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2260600"/>
                    </a:xfrm>
                    <a:prstGeom prst="rect">
                      <a:avLst/>
                    </a:prstGeom>
                  </pic:spPr>
                </pic:pic>
              </a:graphicData>
            </a:graphic>
          </wp:inline>
        </w:drawing>
      </w:r>
    </w:p>
    <w:p w14:paraId="383AA413" w14:textId="77777777" w:rsidR="00625F2B" w:rsidRPr="00643760" w:rsidRDefault="00625F2B" w:rsidP="00625F2B">
      <w:pPr>
        <w:spacing w:after="0"/>
        <w:jc w:val="center"/>
        <w:rPr>
          <w:rFonts w:ascii="Century Gothic" w:eastAsiaTheme="minorEastAsia" w:hAnsi="Century Gothic" w:cs="Consolas"/>
          <w:b/>
          <w:bCs/>
          <w:kern w:val="24"/>
          <w:sz w:val="60"/>
          <w:szCs w:val="60"/>
        </w:rPr>
      </w:pPr>
    </w:p>
    <w:p w14:paraId="3CB53D73" w14:textId="77777777" w:rsidR="00625F2B" w:rsidRPr="00643760" w:rsidRDefault="00625F2B" w:rsidP="00625F2B">
      <w:pPr>
        <w:spacing w:after="0"/>
        <w:jc w:val="center"/>
        <w:rPr>
          <w:rFonts w:ascii="Century Gothic" w:eastAsiaTheme="minorEastAsia" w:hAnsi="Century Gothic" w:cs="Consolas"/>
          <w:kern w:val="24"/>
          <w:sz w:val="72"/>
          <w:szCs w:val="36"/>
        </w:rPr>
      </w:pPr>
    </w:p>
    <w:p w14:paraId="100348BC" w14:textId="77777777" w:rsidR="00643760" w:rsidRDefault="00625F2B" w:rsidP="00625F2B">
      <w:pPr>
        <w:jc w:val="center"/>
        <w:rPr>
          <w:rFonts w:ascii="Century Gothic" w:hAnsi="Century Gothic" w:cs="Consolas"/>
          <w:color w:val="0C539C"/>
          <w:kern w:val="24"/>
          <w:sz w:val="60"/>
          <w:szCs w:val="60"/>
        </w:rPr>
      </w:pPr>
      <w:r w:rsidRPr="00643760">
        <w:rPr>
          <w:rFonts w:ascii="Century Gothic" w:hAnsi="Century Gothic" w:cs="Consolas"/>
          <w:color w:val="0C539C"/>
          <w:kern w:val="24"/>
          <w:sz w:val="60"/>
          <w:szCs w:val="60"/>
        </w:rPr>
        <w:t xml:space="preserve"> </w:t>
      </w:r>
    </w:p>
    <w:p w14:paraId="690A139C" w14:textId="77777777" w:rsidR="00643760" w:rsidRDefault="00643760" w:rsidP="00625F2B">
      <w:pPr>
        <w:jc w:val="center"/>
        <w:rPr>
          <w:rFonts w:ascii="Century Gothic" w:hAnsi="Century Gothic" w:cs="Consolas"/>
          <w:color w:val="0C539C"/>
          <w:kern w:val="24"/>
          <w:sz w:val="60"/>
          <w:szCs w:val="60"/>
        </w:rPr>
      </w:pPr>
    </w:p>
    <w:p w14:paraId="429F342B" w14:textId="77777777" w:rsidR="00643760" w:rsidRDefault="00643760" w:rsidP="00625F2B">
      <w:pPr>
        <w:jc w:val="center"/>
        <w:rPr>
          <w:rFonts w:ascii="Century Gothic" w:hAnsi="Century Gothic" w:cs="Consolas"/>
          <w:color w:val="0C539C"/>
          <w:kern w:val="24"/>
          <w:sz w:val="60"/>
          <w:szCs w:val="60"/>
        </w:rPr>
      </w:pPr>
    </w:p>
    <w:p w14:paraId="70A1300F" w14:textId="77777777" w:rsidR="00625F2B" w:rsidRPr="00643760" w:rsidRDefault="00625F2B" w:rsidP="00625F2B">
      <w:pPr>
        <w:jc w:val="center"/>
        <w:rPr>
          <w:rFonts w:ascii="Century Gothic" w:eastAsiaTheme="minorEastAsia" w:hAnsi="Century Gothic" w:cs="Consolas"/>
          <w:kern w:val="24"/>
          <w:sz w:val="52"/>
          <w:szCs w:val="36"/>
        </w:rPr>
      </w:pPr>
      <w:r w:rsidRPr="00643760">
        <w:rPr>
          <w:rFonts w:ascii="Century Gothic" w:hAnsi="Century Gothic" w:cs="Consolas"/>
          <w:color w:val="00A7E7"/>
          <w:kern w:val="24"/>
          <w:sz w:val="60"/>
          <w:szCs w:val="60"/>
        </w:rPr>
        <w:t>Infection Prevention Toolkit</w:t>
      </w:r>
    </w:p>
    <w:p w14:paraId="72BD9280" w14:textId="77777777" w:rsidR="00625F2B" w:rsidRPr="00643760" w:rsidRDefault="00625F2B" w:rsidP="00625F2B">
      <w:pPr>
        <w:pStyle w:val="NormalWeb"/>
        <w:spacing w:before="0" w:beforeAutospacing="0" w:after="0" w:afterAutospacing="0"/>
        <w:jc w:val="center"/>
        <w:rPr>
          <w:rFonts w:ascii="Century Gothic" w:eastAsiaTheme="majorEastAsia" w:hAnsi="Century Gothic" w:cstheme="majorBidi"/>
          <w:color w:val="B34B8B"/>
          <w:kern w:val="24"/>
          <w:sz w:val="36"/>
          <w:szCs w:val="120"/>
        </w:rPr>
      </w:pPr>
      <w:r w:rsidRPr="00643760">
        <w:rPr>
          <w:rFonts w:ascii="Century Gothic" w:eastAsiaTheme="majorEastAsia" w:hAnsi="Century Gothic" w:cstheme="majorBidi"/>
          <w:color w:val="B34B8B"/>
          <w:kern w:val="24"/>
          <w:sz w:val="36"/>
          <w:szCs w:val="120"/>
        </w:rPr>
        <w:t xml:space="preserve">Prevention of Infection during </w:t>
      </w:r>
    </w:p>
    <w:p w14:paraId="6DAA3DCC" w14:textId="77777777" w:rsidR="00625F2B" w:rsidRPr="00643760" w:rsidRDefault="00625F2B" w:rsidP="00625F2B">
      <w:pPr>
        <w:pStyle w:val="NormalWeb"/>
        <w:spacing w:before="0" w:beforeAutospacing="0" w:after="0" w:afterAutospacing="0"/>
        <w:jc w:val="center"/>
        <w:rPr>
          <w:rFonts w:ascii="Century Gothic" w:hAnsi="Century Gothic"/>
          <w:color w:val="B34B8B"/>
        </w:rPr>
      </w:pPr>
      <w:r w:rsidRPr="00643760">
        <w:rPr>
          <w:rFonts w:ascii="Century Gothic" w:eastAsiaTheme="majorEastAsia" w:hAnsi="Century Gothic" w:cstheme="majorBidi"/>
          <w:color w:val="B34B8B"/>
          <w:kern w:val="24"/>
          <w:sz w:val="36"/>
          <w:szCs w:val="120"/>
        </w:rPr>
        <w:t>Ultrasound Probe Use and Reprocessing</w:t>
      </w:r>
    </w:p>
    <w:p w14:paraId="37119A58" w14:textId="77777777" w:rsidR="00625F2B" w:rsidRPr="00643760" w:rsidRDefault="00625F2B" w:rsidP="00625F2B">
      <w:pPr>
        <w:jc w:val="center"/>
        <w:rPr>
          <w:rFonts w:ascii="Century Gothic" w:hAnsi="Century Gothic" w:cs="Consolas"/>
          <w:color w:val="7030A0"/>
          <w:sz w:val="24"/>
          <w:szCs w:val="24"/>
        </w:rPr>
      </w:pPr>
      <w:r w:rsidRPr="00643760">
        <w:rPr>
          <w:rFonts w:ascii="Century Gothic" w:eastAsiaTheme="minorEastAsia" w:hAnsi="Century Gothic" w:cs="Consolas"/>
          <w:b/>
          <w:bCs/>
          <w:noProof/>
          <w:kern w:val="24"/>
          <w:sz w:val="52"/>
          <w:szCs w:val="36"/>
          <w:lang w:val="en-AU" w:eastAsia="en-AU"/>
        </w:rPr>
        <mc:AlternateContent>
          <mc:Choice Requires="wps">
            <w:drawing>
              <wp:anchor distT="0" distB="0" distL="114300" distR="114300" simplePos="0" relativeHeight="251668480" behindDoc="0" locked="0" layoutInCell="1" allowOverlap="1" wp14:anchorId="5C96C289" wp14:editId="1EB1E37A">
                <wp:simplePos x="0" y="0"/>
                <wp:positionH relativeFrom="column">
                  <wp:posOffset>1141730</wp:posOffset>
                </wp:positionH>
                <wp:positionV relativeFrom="paragraph">
                  <wp:posOffset>306705</wp:posOffset>
                </wp:positionV>
                <wp:extent cx="3657600" cy="245745"/>
                <wp:effectExtent l="0" t="0" r="0" b="0"/>
                <wp:wrapNone/>
                <wp:docPr id="7" name="Rectangle 6"/>
                <wp:cNvGraphicFramePr/>
                <a:graphic xmlns:a="http://schemas.openxmlformats.org/drawingml/2006/main">
                  <a:graphicData uri="http://schemas.microsoft.com/office/word/2010/wordprocessingShape">
                    <wps:wsp>
                      <wps:cNvSpPr/>
                      <wps:spPr>
                        <a:xfrm>
                          <a:off x="0" y="0"/>
                          <a:ext cx="3657600" cy="245745"/>
                        </a:xfrm>
                        <a:prstGeom prst="rect">
                          <a:avLst/>
                        </a:prstGeom>
                      </wps:spPr>
                      <wps:txbx>
                        <w:txbxContent>
                          <w:p w14:paraId="33FC1071" w14:textId="77777777" w:rsidR="00625F2B" w:rsidRPr="00923C2B" w:rsidRDefault="00625F2B" w:rsidP="00625F2B">
                            <w:pPr>
                              <w:pStyle w:val="NormalWeb"/>
                              <w:spacing w:before="0" w:beforeAutospacing="0" w:after="0" w:afterAutospacing="0"/>
                              <w:jc w:val="center"/>
                              <w:rPr>
                                <w:rFonts w:ascii="Century Gothic" w:hAnsi="Century Gothic"/>
                                <w:color w:val="606162"/>
                                <w:sz w:val="32"/>
                              </w:rPr>
                            </w:pPr>
                            <w:r w:rsidRPr="00923C2B">
                              <w:rPr>
                                <w:rFonts w:ascii="Century Gothic" w:eastAsia="Times New Roman" w:hAnsi="Century Gothic"/>
                                <w:color w:val="606162"/>
                                <w:kern w:val="24"/>
                                <w:szCs w:val="20"/>
                              </w:rPr>
                              <w:t>http://www.ultrasoundinfectionprevention.org/</w:t>
                            </w:r>
                          </w:p>
                        </w:txbxContent>
                      </wps:txbx>
                      <wps:bodyPr wrap="square">
                        <a:spAutoFit/>
                      </wps:bodyPr>
                    </wps:wsp>
                  </a:graphicData>
                </a:graphic>
              </wp:anchor>
            </w:drawing>
          </mc:Choice>
          <mc:Fallback>
            <w:pict>
              <v:rect w14:anchorId="5C96C289" id="Rectangle 6" o:spid="_x0000_s1026" style="position:absolute;left:0;text-align:left;margin-left:89.9pt;margin-top:24.15pt;width:4in;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" filled="f" stroked="f">
                <v:textbox style="mso-fit-shape-to-text:t">
                  <w:txbxContent>
                    <w:p w14:paraId="33FC1071" w14:textId="77777777" w:rsidR="00625F2B" w:rsidRPr="00923C2B" w:rsidRDefault="00625F2B" w:rsidP="00625F2B">
                      <w:pPr>
                        <w:pStyle w:val="NormalWeb"/>
                        <w:spacing w:before="0" w:beforeAutospacing="0" w:after="0" w:afterAutospacing="0"/>
                        <w:jc w:val="center"/>
                        <w:rPr>
                          <w:rFonts w:ascii="Century Gothic" w:hAnsi="Century Gothic"/>
                          <w:color w:val="606162"/>
                          <w:sz w:val="32"/>
                        </w:rPr>
                      </w:pPr>
                      <w:r w:rsidRPr="00923C2B">
                        <w:rPr>
                          <w:rFonts w:ascii="Century Gothic" w:eastAsia="Times New Roman" w:hAnsi="Century Gothic"/>
                          <w:color w:val="606162"/>
                          <w:kern w:val="24"/>
                          <w:szCs w:val="20"/>
                        </w:rPr>
                        <w:t>http://www.ultrasoundinfectionprevention.org/</w:t>
                      </w:r>
                    </w:p>
                  </w:txbxContent>
                </v:textbox>
              </v:rect>
            </w:pict>
          </mc:Fallback>
        </mc:AlternateContent>
      </w:r>
      <w:r w:rsidRPr="00643760">
        <w:rPr>
          <w:rFonts w:ascii="Century Gothic" w:eastAsiaTheme="minorEastAsia" w:hAnsi="Century Gothic" w:cs="Consolas"/>
          <w:b/>
          <w:bCs/>
          <w:kern w:val="24"/>
          <w:sz w:val="24"/>
          <w:szCs w:val="24"/>
        </w:rPr>
        <w:br w:type="page"/>
      </w:r>
    </w:p>
    <w:p w14:paraId="395AF6B7" w14:textId="77777777" w:rsidR="005A672F" w:rsidRPr="00643760" w:rsidRDefault="005A672F" w:rsidP="005A672F">
      <w:pPr>
        <w:jc w:val="both"/>
        <w:rPr>
          <w:rFonts w:ascii="Century Gothic" w:hAnsi="Century Gothic"/>
          <w:b/>
          <w:color w:val="00A7E7"/>
          <w:sz w:val="24"/>
          <w:szCs w:val="24"/>
        </w:rPr>
      </w:pPr>
      <w:r w:rsidRPr="00643760">
        <w:rPr>
          <w:rFonts w:ascii="Century Gothic" w:hAnsi="Century Gothic"/>
          <w:b/>
          <w:color w:val="00A7E7"/>
          <w:sz w:val="24"/>
          <w:szCs w:val="24"/>
        </w:rPr>
        <w:lastRenderedPageBreak/>
        <w:t>Foreword</w:t>
      </w:r>
    </w:p>
    <w:p w14:paraId="71B78EAA" w14:textId="77777777"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 xml:space="preserve">This toolkit has been assembled in consultation with clinical experts with backgrounds in infection prevention and instrument reprocessing. The objective in developing this toolkit has been to provide a resource regarding infection prevention during the use and reprocessing of ultrasound probes. </w:t>
      </w:r>
    </w:p>
    <w:p w14:paraId="29E8F4D6" w14:textId="77777777"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The following individuals have contributed to the development of this toolkit:</w:t>
      </w:r>
    </w:p>
    <w:p w14:paraId="690590EE" w14:textId="77777777" w:rsidR="00BA18DC" w:rsidRPr="00643760" w:rsidRDefault="00BA18DC" w:rsidP="00BA18DC">
      <w:pPr>
        <w:spacing w:after="0" w:line="240" w:lineRule="auto"/>
        <w:ind w:left="1134"/>
        <w:jc w:val="both"/>
        <w:rPr>
          <w:rFonts w:ascii="Century Gothic" w:eastAsia="Times New Roman" w:hAnsi="Century Gothic" w:cs="Times New Roman"/>
          <w:bCs/>
          <w:i/>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Sue Barnes </w:t>
      </w:r>
      <w:r w:rsidRPr="00643760">
        <w:rPr>
          <w:rFonts w:ascii="Century Gothic" w:eastAsia="Times New Roman" w:hAnsi="Century Gothic" w:cs="Times New Roman"/>
          <w:bCs/>
          <w:i/>
          <w:color w:val="000000" w:themeColor="text1"/>
          <w:kern w:val="24"/>
          <w:sz w:val="24"/>
          <w:szCs w:val="24"/>
        </w:rPr>
        <w:t>RN CIC FAPIC</w:t>
      </w:r>
    </w:p>
    <w:p w14:paraId="1595D67A" w14:textId="77777777" w:rsidR="005A672F" w:rsidRPr="00643760" w:rsidRDefault="005A672F" w:rsidP="005A672F">
      <w:pPr>
        <w:spacing w:after="0" w:line="240" w:lineRule="auto"/>
        <w:ind w:left="1134"/>
        <w:jc w:val="both"/>
        <w:rPr>
          <w:rFonts w:ascii="Century Gothic" w:eastAsia="Times New Roman" w:hAnsi="Century Gothic" w:cs="Times New Roman"/>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Roy Boukidjian </w:t>
      </w:r>
      <w:r w:rsidRPr="00643760">
        <w:rPr>
          <w:rFonts w:ascii="Century Gothic" w:eastAsia="Times New Roman" w:hAnsi="Century Gothic" w:cs="Times New Roman"/>
          <w:i/>
          <w:iCs/>
          <w:color w:val="000000" w:themeColor="text1"/>
          <w:kern w:val="24"/>
          <w:sz w:val="24"/>
          <w:szCs w:val="24"/>
        </w:rPr>
        <w:t>MSN PHN CIC</w:t>
      </w:r>
    </w:p>
    <w:p w14:paraId="3051BBE5" w14:textId="77777777" w:rsidR="005A672F" w:rsidRPr="00643760" w:rsidRDefault="005A672F" w:rsidP="005A672F">
      <w:pPr>
        <w:spacing w:after="0" w:line="240" w:lineRule="auto"/>
        <w:ind w:left="1134"/>
        <w:jc w:val="both"/>
        <w:rPr>
          <w:rFonts w:ascii="Century Gothic" w:eastAsia="Times New Roman" w:hAnsi="Century Gothic" w:cs="Times New Roman"/>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Ruth Carrico </w:t>
      </w:r>
      <w:r w:rsidRPr="00643760">
        <w:rPr>
          <w:rFonts w:ascii="Century Gothic" w:eastAsia="Times New Roman" w:hAnsi="Century Gothic" w:cs="Times New Roman"/>
          <w:i/>
          <w:iCs/>
          <w:color w:val="000000" w:themeColor="text1"/>
          <w:kern w:val="24"/>
          <w:sz w:val="24"/>
          <w:szCs w:val="24"/>
        </w:rPr>
        <w:t>PhD DNP APRN FSHEA CIC</w:t>
      </w:r>
    </w:p>
    <w:p w14:paraId="4AA21529" w14:textId="77777777" w:rsidR="005A672F" w:rsidRPr="00643760" w:rsidRDefault="005A672F" w:rsidP="005A672F">
      <w:pPr>
        <w:spacing w:after="0" w:line="240" w:lineRule="auto"/>
        <w:ind w:left="1134"/>
        <w:jc w:val="both"/>
        <w:rPr>
          <w:rFonts w:ascii="Century Gothic" w:eastAsia="Times New Roman" w:hAnsi="Century Gothic" w:cs="Times New Roman"/>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Robert Garcia </w:t>
      </w:r>
      <w:r w:rsidRPr="00643760">
        <w:rPr>
          <w:rFonts w:ascii="Century Gothic" w:eastAsia="Times New Roman" w:hAnsi="Century Gothic" w:cs="Times New Roman"/>
          <w:i/>
          <w:iCs/>
          <w:color w:val="000000" w:themeColor="text1"/>
          <w:kern w:val="24"/>
          <w:sz w:val="24"/>
          <w:szCs w:val="24"/>
        </w:rPr>
        <w:t>BS MT CIC</w:t>
      </w:r>
    </w:p>
    <w:p w14:paraId="47129EFC" w14:textId="77777777" w:rsidR="005A672F" w:rsidRPr="00643760" w:rsidRDefault="005A672F" w:rsidP="005A672F">
      <w:pPr>
        <w:spacing w:after="0" w:line="240" w:lineRule="auto"/>
        <w:ind w:left="1134"/>
        <w:jc w:val="both"/>
        <w:rPr>
          <w:rFonts w:ascii="Century Gothic" w:eastAsia="Times New Roman" w:hAnsi="Century Gothic" w:cs="Times New Roman"/>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Sylvia Garcia-Houchins </w:t>
      </w:r>
      <w:r w:rsidRPr="00643760">
        <w:rPr>
          <w:rFonts w:ascii="Century Gothic" w:eastAsia="Times New Roman" w:hAnsi="Century Gothic" w:cs="Times New Roman"/>
          <w:i/>
          <w:iCs/>
          <w:color w:val="000000" w:themeColor="text1"/>
          <w:kern w:val="24"/>
          <w:sz w:val="24"/>
          <w:szCs w:val="24"/>
        </w:rPr>
        <w:t>RN MBA CIC</w:t>
      </w:r>
    </w:p>
    <w:p w14:paraId="306A0243" w14:textId="77777777" w:rsidR="005A672F" w:rsidRPr="00643760" w:rsidRDefault="005A672F" w:rsidP="005A672F">
      <w:pPr>
        <w:spacing w:after="0" w:line="240" w:lineRule="auto"/>
        <w:ind w:left="1134"/>
        <w:jc w:val="both"/>
        <w:rPr>
          <w:rFonts w:ascii="Century Gothic" w:eastAsia="Times New Roman" w:hAnsi="Century Gothic" w:cs="Times New Roman"/>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Amy Nichols </w:t>
      </w:r>
      <w:r w:rsidRPr="00643760">
        <w:rPr>
          <w:rFonts w:ascii="Century Gothic" w:eastAsia="Times New Roman" w:hAnsi="Century Gothic" w:cs="Times New Roman"/>
          <w:i/>
          <w:iCs/>
          <w:color w:val="000000" w:themeColor="text1"/>
          <w:kern w:val="24"/>
          <w:sz w:val="24"/>
          <w:szCs w:val="24"/>
        </w:rPr>
        <w:t>RN MBA CIC FAPIC</w:t>
      </w:r>
    </w:p>
    <w:p w14:paraId="6DE5A093" w14:textId="77777777" w:rsidR="005A672F" w:rsidRPr="00643760" w:rsidRDefault="005A672F" w:rsidP="005A672F">
      <w:pPr>
        <w:spacing w:after="0" w:line="240" w:lineRule="auto"/>
        <w:ind w:left="1134"/>
        <w:jc w:val="both"/>
        <w:rPr>
          <w:rFonts w:ascii="Century Gothic" w:eastAsia="Times New Roman" w:hAnsi="Century Gothic" w:cs="Times New Roman"/>
          <w:bCs/>
          <w:i/>
          <w:color w:val="000000" w:themeColor="text1"/>
          <w:kern w:val="24"/>
          <w:sz w:val="24"/>
          <w:szCs w:val="24"/>
        </w:rPr>
      </w:pPr>
      <w:r w:rsidRPr="00643760">
        <w:rPr>
          <w:rFonts w:ascii="Century Gothic" w:eastAsia="Times New Roman" w:hAnsi="Century Gothic" w:cs="Times New Roman"/>
          <w:b/>
          <w:bCs/>
          <w:color w:val="000000" w:themeColor="text1"/>
          <w:kern w:val="24"/>
          <w:sz w:val="24"/>
          <w:szCs w:val="24"/>
        </w:rPr>
        <w:t xml:space="preserve">Rose Seavey </w:t>
      </w:r>
      <w:r w:rsidRPr="00643760">
        <w:rPr>
          <w:rFonts w:ascii="Century Gothic" w:eastAsia="Times New Roman" w:hAnsi="Century Gothic" w:cs="Times New Roman"/>
          <w:bCs/>
          <w:i/>
          <w:color w:val="000000" w:themeColor="text1"/>
          <w:kern w:val="24"/>
          <w:sz w:val="24"/>
          <w:szCs w:val="24"/>
        </w:rPr>
        <w:t>MBA BS RN CNOR CRCST CSPDT</w:t>
      </w:r>
    </w:p>
    <w:p w14:paraId="1D4E183F" w14:textId="77777777" w:rsidR="005A672F" w:rsidRPr="00643760" w:rsidRDefault="005A672F" w:rsidP="005A672F">
      <w:pPr>
        <w:spacing w:after="0" w:line="240" w:lineRule="auto"/>
        <w:ind w:left="1134"/>
        <w:jc w:val="both"/>
        <w:rPr>
          <w:rFonts w:ascii="Century Gothic" w:eastAsiaTheme="minorEastAsia" w:hAnsi="Century Gothic" w:cs="Times New Roman"/>
          <w:sz w:val="24"/>
          <w:szCs w:val="24"/>
        </w:rPr>
      </w:pPr>
      <w:r w:rsidRPr="00643760">
        <w:rPr>
          <w:rFonts w:ascii="Century Gothic" w:eastAsia="Times New Roman" w:hAnsi="Century Gothic" w:cs="Times New Roman"/>
          <w:b/>
          <w:bCs/>
          <w:color w:val="000000" w:themeColor="text1"/>
          <w:kern w:val="24"/>
          <w:sz w:val="24"/>
          <w:szCs w:val="24"/>
        </w:rPr>
        <w:t xml:space="preserve">John Whelan </w:t>
      </w:r>
      <w:r w:rsidRPr="00643760">
        <w:rPr>
          <w:rFonts w:ascii="Century Gothic" w:eastAsia="Times New Roman" w:hAnsi="Century Gothic" w:cs="Times New Roman"/>
          <w:i/>
          <w:iCs/>
          <w:color w:val="000000" w:themeColor="text1"/>
          <w:kern w:val="24"/>
          <w:sz w:val="24"/>
          <w:szCs w:val="24"/>
        </w:rPr>
        <w:t>BSN RN</w:t>
      </w:r>
    </w:p>
    <w:p w14:paraId="5804F1A4" w14:textId="77777777" w:rsidR="005A672F" w:rsidRPr="00643760" w:rsidRDefault="005A672F" w:rsidP="005A672F">
      <w:pPr>
        <w:jc w:val="both"/>
        <w:rPr>
          <w:rFonts w:ascii="Century Gothic" w:hAnsi="Century Gothic"/>
          <w:sz w:val="24"/>
          <w:szCs w:val="24"/>
        </w:rPr>
      </w:pPr>
    </w:p>
    <w:p w14:paraId="50B708BA" w14:textId="77777777" w:rsidR="005A672F" w:rsidRPr="00643760" w:rsidRDefault="005A672F" w:rsidP="005A672F">
      <w:pPr>
        <w:jc w:val="both"/>
        <w:rPr>
          <w:rFonts w:ascii="Century Gothic" w:hAnsi="Century Gothic"/>
          <w:b/>
          <w:color w:val="00A7E7"/>
          <w:sz w:val="24"/>
          <w:szCs w:val="24"/>
        </w:rPr>
      </w:pPr>
      <w:r w:rsidRPr="00643760">
        <w:rPr>
          <w:rFonts w:ascii="Century Gothic" w:hAnsi="Century Gothic"/>
          <w:b/>
          <w:color w:val="00A7E7"/>
          <w:sz w:val="24"/>
          <w:szCs w:val="24"/>
        </w:rPr>
        <w:t>Approach and Principles</w:t>
      </w:r>
    </w:p>
    <w:p w14:paraId="18D6B3D8" w14:textId="1B9C2B06"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These tools have been assembled based on best practice guidelines with the goal of reducing infection risks associated with ultrasound use in the interest of patient safety. Guidelines referenced in this toolkit are evidence</w:t>
      </w:r>
      <w:r w:rsidR="009E36DA">
        <w:rPr>
          <w:rFonts w:ascii="Century Gothic" w:hAnsi="Century Gothic"/>
          <w:sz w:val="24"/>
          <w:szCs w:val="24"/>
        </w:rPr>
        <w:t>-</w:t>
      </w:r>
      <w:r w:rsidRPr="00643760">
        <w:rPr>
          <w:rFonts w:ascii="Century Gothic" w:hAnsi="Century Gothic"/>
          <w:sz w:val="24"/>
          <w:szCs w:val="24"/>
        </w:rPr>
        <w:t xml:space="preserve">based, have been developed with infection prevention representation and have followed a formal guideline development process, including a public comment period. These tools are intended to guide the development of institutional policies and procedures, with an understanding that each institution can vary in the patient groups cared for, settings and the types of care provided. </w:t>
      </w:r>
    </w:p>
    <w:p w14:paraId="7FBE2B00" w14:textId="77777777" w:rsidR="005A672F" w:rsidRPr="00643760" w:rsidRDefault="005A672F" w:rsidP="005A672F">
      <w:pPr>
        <w:rPr>
          <w:rFonts w:ascii="Century Gothic" w:hAnsi="Century Gothic" w:cs="Consolas"/>
          <w:b/>
          <w:sz w:val="24"/>
          <w:szCs w:val="24"/>
        </w:rPr>
      </w:pPr>
      <w:r w:rsidRPr="00643760">
        <w:rPr>
          <w:rFonts w:ascii="Century Gothic" w:hAnsi="Century Gothic" w:cs="Consolas"/>
          <w:b/>
          <w:sz w:val="24"/>
          <w:szCs w:val="24"/>
        </w:rPr>
        <w:br w:type="page"/>
      </w:r>
    </w:p>
    <w:p w14:paraId="3D848E6B" w14:textId="77777777" w:rsidR="005A672F" w:rsidRPr="00643760" w:rsidRDefault="005A672F" w:rsidP="005A672F">
      <w:pPr>
        <w:jc w:val="center"/>
        <w:rPr>
          <w:rFonts w:ascii="Century Gothic" w:hAnsi="Century Gothic" w:cs="Consolas"/>
          <w:b/>
          <w:color w:val="00A7E7"/>
          <w:sz w:val="24"/>
          <w:szCs w:val="24"/>
        </w:rPr>
      </w:pPr>
      <w:r w:rsidRPr="00643760">
        <w:rPr>
          <w:rFonts w:ascii="Century Gothic" w:hAnsi="Century Gothic" w:cs="Consolas"/>
          <w:color w:val="00A7E7"/>
          <w:sz w:val="52"/>
          <w:szCs w:val="24"/>
        </w:rPr>
        <w:lastRenderedPageBreak/>
        <w:t>Contents</w:t>
      </w:r>
    </w:p>
    <w:p w14:paraId="21587C9C" w14:textId="77777777" w:rsidR="005A672F" w:rsidRPr="00643760" w:rsidRDefault="005A672F" w:rsidP="005A672F">
      <w:pPr>
        <w:jc w:val="both"/>
        <w:rPr>
          <w:rFonts w:ascii="Century Gothic" w:hAnsi="Century Gothic" w:cs="Consolas"/>
          <w:b/>
          <w:color w:val="00A7E7"/>
          <w:sz w:val="24"/>
          <w:szCs w:val="24"/>
        </w:rPr>
      </w:pPr>
      <w:r w:rsidRPr="00643760">
        <w:rPr>
          <w:rFonts w:ascii="Century Gothic" w:hAnsi="Century Gothic" w:cs="Consolas"/>
          <w:b/>
          <w:color w:val="00A7E7"/>
          <w:sz w:val="24"/>
          <w:szCs w:val="24"/>
        </w:rPr>
        <w:t>Tool 1: Part A - Locate</w:t>
      </w:r>
    </w:p>
    <w:p w14:paraId="5AB12910" w14:textId="77777777"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 xml:space="preserve">This list of strategies can help locate ultrasound machines in your facility. Locating ultrasound machines can be a challenging task, as they may move around, be uncatalogued, or may be unknown to personnel with responsibility for probe use and reprocessing. </w:t>
      </w:r>
    </w:p>
    <w:p w14:paraId="59813416" w14:textId="77777777" w:rsidR="005A672F" w:rsidRPr="00643760" w:rsidRDefault="005A672F" w:rsidP="005A672F">
      <w:pPr>
        <w:jc w:val="both"/>
        <w:rPr>
          <w:rFonts w:ascii="Century Gothic" w:hAnsi="Century Gothic" w:cs="Consolas"/>
          <w:b/>
          <w:color w:val="00A7E7"/>
          <w:sz w:val="24"/>
          <w:szCs w:val="24"/>
        </w:rPr>
      </w:pPr>
      <w:r w:rsidRPr="00643760">
        <w:rPr>
          <w:rFonts w:ascii="Century Gothic" w:hAnsi="Century Gothic" w:cs="Consolas"/>
          <w:b/>
          <w:color w:val="00A7E7"/>
          <w:sz w:val="24"/>
          <w:szCs w:val="24"/>
        </w:rPr>
        <w:t>Tool 1: Part B - Profile</w:t>
      </w:r>
    </w:p>
    <w:p w14:paraId="4CB811B3" w14:textId="77777777"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After locating ultrasound machines with the Locate tool, this audit tool can be used to observe and assess procedure-specific ultrasound policy and practice. First record the procedure and department, then work through the profile form. The questions guide the user through their policy and an observation checklist is provided to record actual practice. The tool leads the user to an action plan if there is no policy, or if there are discrepancies among policy, practice and guidelines.</w:t>
      </w:r>
    </w:p>
    <w:p w14:paraId="4C8BD479" w14:textId="77777777" w:rsidR="005A672F" w:rsidRPr="00643760" w:rsidRDefault="005A672F" w:rsidP="005A672F">
      <w:pPr>
        <w:jc w:val="both"/>
        <w:rPr>
          <w:rFonts w:ascii="Century Gothic" w:hAnsi="Century Gothic" w:cs="Consolas"/>
          <w:b/>
          <w:color w:val="00A7E7"/>
          <w:sz w:val="24"/>
          <w:szCs w:val="24"/>
        </w:rPr>
      </w:pPr>
      <w:r w:rsidRPr="00643760">
        <w:rPr>
          <w:rFonts w:ascii="Century Gothic" w:hAnsi="Century Gothic" w:cs="Consolas"/>
          <w:b/>
          <w:color w:val="00A7E7"/>
          <w:sz w:val="24"/>
          <w:szCs w:val="24"/>
        </w:rPr>
        <w:t>Tool 2: Algorithm</w:t>
      </w:r>
    </w:p>
    <w:p w14:paraId="2B62F4A2" w14:textId="03C74416"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 xml:space="preserve">This tool is organized by department and provides a range of typical procedures that may be encountered in that department. Probe use and reprocessing requirements based on </w:t>
      </w:r>
      <w:r w:rsidR="00BF7BD4" w:rsidRPr="00643760">
        <w:rPr>
          <w:rFonts w:ascii="Century Gothic" w:hAnsi="Century Gothic"/>
          <w:sz w:val="24"/>
          <w:szCs w:val="24"/>
        </w:rPr>
        <w:t xml:space="preserve">federal guidelines (CDC and FDA) and national standards (AAMI) </w:t>
      </w:r>
      <w:r w:rsidRPr="00643760">
        <w:rPr>
          <w:rFonts w:ascii="Century Gothic" w:hAnsi="Century Gothic"/>
          <w:sz w:val="24"/>
          <w:szCs w:val="24"/>
        </w:rPr>
        <w:t>are presented as a decision</w:t>
      </w:r>
      <w:r w:rsidR="005D4C99">
        <w:rPr>
          <w:rFonts w:ascii="Century Gothic" w:hAnsi="Century Gothic"/>
          <w:sz w:val="24"/>
          <w:szCs w:val="24"/>
        </w:rPr>
        <w:t>-</w:t>
      </w:r>
      <w:r w:rsidRPr="00643760">
        <w:rPr>
          <w:rFonts w:ascii="Century Gothic" w:hAnsi="Century Gothic"/>
          <w:sz w:val="24"/>
          <w:szCs w:val="24"/>
        </w:rPr>
        <w:t>making algorithm. The flow chart can be printed out and displayed throughout office and procedure rooms and used as a quick reference chart for healthcare workers to determine whether practice is compliant with available guidelines.</w:t>
      </w:r>
    </w:p>
    <w:p w14:paraId="0E4FBA0E" w14:textId="77777777" w:rsidR="005A672F" w:rsidRPr="00643760" w:rsidRDefault="005A672F" w:rsidP="005A672F">
      <w:pPr>
        <w:jc w:val="both"/>
        <w:rPr>
          <w:rFonts w:ascii="Century Gothic" w:hAnsi="Century Gothic" w:cs="Consolas"/>
          <w:b/>
          <w:color w:val="00A7E7"/>
          <w:sz w:val="24"/>
          <w:szCs w:val="24"/>
        </w:rPr>
      </w:pPr>
      <w:r w:rsidRPr="00643760">
        <w:rPr>
          <w:rFonts w:ascii="Century Gothic" w:hAnsi="Century Gothic" w:cs="Consolas"/>
          <w:b/>
          <w:color w:val="00A7E7"/>
          <w:sz w:val="24"/>
          <w:szCs w:val="24"/>
        </w:rPr>
        <w:t>Tool 3: Example Risk Assessment</w:t>
      </w:r>
    </w:p>
    <w:p w14:paraId="23A15E57" w14:textId="77777777" w:rsidR="005A672F" w:rsidRPr="00643760" w:rsidRDefault="005A672F" w:rsidP="005A672F">
      <w:pPr>
        <w:jc w:val="both"/>
        <w:rPr>
          <w:rFonts w:ascii="Century Gothic" w:hAnsi="Century Gothic"/>
          <w:sz w:val="24"/>
          <w:szCs w:val="24"/>
        </w:rPr>
      </w:pPr>
      <w:r w:rsidRPr="00643760">
        <w:rPr>
          <w:rFonts w:ascii="Century Gothic" w:hAnsi="Century Gothic"/>
          <w:sz w:val="24"/>
          <w:szCs w:val="24"/>
        </w:rPr>
        <w:t>This tool contains four editable templates designed to guide the assessment of potential hazards that may be encountered during the use and reprocessing (cleaning, disinfection, storage) of ultrasound probes. A sample risk matrix is provided with further instructions for completion.  A facility should aim to mitigate all significant harm to the lowest risk rating. If that is not possible, the existing workflow and/or products should be reconsidered.</w:t>
      </w:r>
    </w:p>
    <w:p w14:paraId="00ACEC60" w14:textId="77777777" w:rsidR="006B5C35" w:rsidRDefault="006B5C35">
      <w:pPr>
        <w:rPr>
          <w:rFonts w:ascii="Century Gothic" w:hAnsi="Century Gothic" w:cs="Consolas"/>
          <w:b/>
          <w:color w:val="00A7E7"/>
          <w:sz w:val="24"/>
          <w:szCs w:val="24"/>
        </w:rPr>
      </w:pPr>
      <w:r>
        <w:rPr>
          <w:rFonts w:ascii="Century Gothic" w:hAnsi="Century Gothic" w:cs="Consolas"/>
          <w:b/>
          <w:color w:val="00A7E7"/>
          <w:sz w:val="24"/>
          <w:szCs w:val="24"/>
        </w:rPr>
        <w:br w:type="page"/>
      </w:r>
    </w:p>
    <w:p w14:paraId="04F4DE45" w14:textId="77777777" w:rsidR="005A672F" w:rsidRPr="00643760" w:rsidRDefault="005A672F" w:rsidP="005A672F">
      <w:pPr>
        <w:rPr>
          <w:rFonts w:ascii="Century Gothic" w:hAnsi="Century Gothic" w:cs="Consolas"/>
          <w:b/>
          <w:color w:val="00A7E7"/>
          <w:sz w:val="24"/>
          <w:szCs w:val="24"/>
        </w:rPr>
      </w:pPr>
      <w:r w:rsidRPr="00643760">
        <w:rPr>
          <w:rFonts w:ascii="Century Gothic" w:hAnsi="Century Gothic" w:cs="Consolas"/>
          <w:b/>
          <w:color w:val="00A7E7"/>
          <w:sz w:val="24"/>
          <w:szCs w:val="24"/>
        </w:rPr>
        <w:lastRenderedPageBreak/>
        <w:t>Tool 4: Policy Development Framework</w:t>
      </w:r>
    </w:p>
    <w:p w14:paraId="40FFA3CE" w14:textId="1DADB415" w:rsidR="005A672F" w:rsidRPr="00643760" w:rsidRDefault="005A672F" w:rsidP="005A672F">
      <w:pPr>
        <w:spacing w:after="0"/>
        <w:jc w:val="both"/>
        <w:rPr>
          <w:rFonts w:ascii="Century Gothic" w:hAnsi="Century Gothic"/>
          <w:sz w:val="24"/>
          <w:szCs w:val="24"/>
        </w:rPr>
      </w:pPr>
      <w:r w:rsidRPr="00643760">
        <w:rPr>
          <w:rFonts w:ascii="Century Gothic" w:hAnsi="Century Gothic"/>
          <w:sz w:val="24"/>
          <w:szCs w:val="24"/>
        </w:rPr>
        <w:t>This tool is a policy development framework designed to help develop infection prevention policies for all settings where ultrasound technology is used and probes are reprocessed. It can be used to develop a universal hospital policy or a department</w:t>
      </w:r>
      <w:r w:rsidR="003F04E6">
        <w:rPr>
          <w:rFonts w:ascii="Century Gothic" w:hAnsi="Century Gothic"/>
          <w:sz w:val="24"/>
          <w:szCs w:val="24"/>
        </w:rPr>
        <w:t>-</w:t>
      </w:r>
      <w:r w:rsidRPr="00643760">
        <w:rPr>
          <w:rFonts w:ascii="Century Gothic" w:hAnsi="Century Gothic"/>
          <w:sz w:val="24"/>
          <w:szCs w:val="24"/>
        </w:rPr>
        <w:t>specific policy and has been developed based on major guidelines, standards and evidence</w:t>
      </w:r>
      <w:r w:rsidR="003F04E6">
        <w:rPr>
          <w:rFonts w:ascii="Century Gothic" w:hAnsi="Century Gothic"/>
          <w:sz w:val="24"/>
          <w:szCs w:val="24"/>
        </w:rPr>
        <w:t>-</w:t>
      </w:r>
      <w:r w:rsidRPr="00643760">
        <w:rPr>
          <w:rFonts w:ascii="Century Gothic" w:hAnsi="Century Gothic"/>
          <w:sz w:val="24"/>
          <w:szCs w:val="24"/>
        </w:rPr>
        <w:t>based scientific literature.</w:t>
      </w:r>
    </w:p>
    <w:p w14:paraId="2A3BF7A7" w14:textId="77777777" w:rsidR="00DE0076" w:rsidRPr="00643760" w:rsidRDefault="00DE0076" w:rsidP="005A672F">
      <w:pPr>
        <w:spacing w:after="0"/>
        <w:jc w:val="both"/>
        <w:rPr>
          <w:rFonts w:ascii="Century Gothic" w:eastAsiaTheme="minorEastAsia" w:hAnsi="Century Gothic" w:cs="Consolas"/>
          <w:b/>
          <w:bCs/>
          <w:color w:val="0C539C"/>
          <w:kern w:val="24"/>
          <w:sz w:val="24"/>
          <w:szCs w:val="24"/>
        </w:rPr>
      </w:pPr>
    </w:p>
    <w:p w14:paraId="599885C7" w14:textId="77777777" w:rsidR="005A672F" w:rsidRPr="00643760" w:rsidRDefault="005A672F" w:rsidP="005A672F">
      <w:pPr>
        <w:spacing w:after="0"/>
        <w:jc w:val="both"/>
        <w:rPr>
          <w:rFonts w:ascii="Century Gothic" w:hAnsi="Century Gothic"/>
          <w:color w:val="00A7E7"/>
          <w:sz w:val="24"/>
          <w:szCs w:val="24"/>
        </w:rPr>
      </w:pPr>
      <w:r w:rsidRPr="00643760">
        <w:rPr>
          <w:rFonts w:ascii="Century Gothic" w:eastAsiaTheme="minorEastAsia" w:hAnsi="Century Gothic" w:cs="Consolas"/>
          <w:b/>
          <w:bCs/>
          <w:color w:val="00A7E7"/>
          <w:kern w:val="24"/>
          <w:sz w:val="24"/>
          <w:szCs w:val="24"/>
        </w:rPr>
        <w:t>Funding</w:t>
      </w:r>
    </w:p>
    <w:p w14:paraId="4B510167" w14:textId="77777777" w:rsidR="005A672F" w:rsidRPr="00643760" w:rsidRDefault="005A672F" w:rsidP="005A672F">
      <w:pPr>
        <w:spacing w:after="0" w:line="240" w:lineRule="auto"/>
        <w:jc w:val="both"/>
        <w:rPr>
          <w:rFonts w:ascii="Century Gothic" w:eastAsiaTheme="minorEastAsia" w:hAnsi="Century Gothic" w:cs="Consolas"/>
          <w:b/>
          <w:bCs/>
          <w:kern w:val="24"/>
          <w:sz w:val="24"/>
          <w:szCs w:val="24"/>
        </w:rPr>
      </w:pPr>
    </w:p>
    <w:p w14:paraId="7DAFABA6" w14:textId="77777777" w:rsidR="005A672F" w:rsidRPr="00643760" w:rsidRDefault="005A672F" w:rsidP="005A672F">
      <w:pPr>
        <w:spacing w:after="0"/>
        <w:jc w:val="both"/>
        <w:rPr>
          <w:rFonts w:ascii="Century Gothic" w:hAnsi="Century Gothic"/>
          <w:sz w:val="24"/>
          <w:szCs w:val="24"/>
        </w:rPr>
      </w:pPr>
      <w:r w:rsidRPr="00643760">
        <w:rPr>
          <w:rFonts w:ascii="Century Gothic" w:hAnsi="Century Gothic"/>
          <w:sz w:val="24"/>
          <w:szCs w:val="24"/>
        </w:rPr>
        <w:t>The development of this toolkit has been supported by Nanosonics Ltd. Nanosonics Ltd strives to improve the safety of patients, clinics, their staff and the environment by transforming the way infection prevention practices are understood and conducted and introducing innovative technologies that deliver improved standards of care.</w:t>
      </w:r>
    </w:p>
    <w:p w14:paraId="5758FA56" w14:textId="77777777" w:rsidR="005A672F" w:rsidRPr="00643760" w:rsidRDefault="005A672F" w:rsidP="005A672F">
      <w:pPr>
        <w:spacing w:after="0" w:line="240" w:lineRule="auto"/>
        <w:jc w:val="both"/>
        <w:rPr>
          <w:rFonts w:ascii="Century Gothic" w:eastAsia="Times New Roman" w:hAnsi="Century Gothic" w:cs="Times New Roman"/>
          <w:b/>
          <w:bCs/>
          <w:iCs/>
          <w:color w:val="000000"/>
          <w:kern w:val="24"/>
          <w:sz w:val="24"/>
          <w:szCs w:val="24"/>
          <w:lang w:val="en-AU"/>
        </w:rPr>
      </w:pPr>
    </w:p>
    <w:p w14:paraId="0B8898FA" w14:textId="77777777" w:rsidR="005A672F" w:rsidRPr="00643760" w:rsidRDefault="005A672F" w:rsidP="005A672F">
      <w:pPr>
        <w:spacing w:after="0" w:line="240" w:lineRule="auto"/>
        <w:jc w:val="both"/>
        <w:rPr>
          <w:rFonts w:ascii="Century Gothic" w:eastAsiaTheme="minorEastAsia" w:hAnsi="Century Gothic" w:cs="Consolas"/>
          <w:b/>
          <w:bCs/>
          <w:color w:val="00A7E7"/>
          <w:kern w:val="24"/>
          <w:sz w:val="24"/>
          <w:szCs w:val="24"/>
        </w:rPr>
      </w:pPr>
      <w:r w:rsidRPr="00643760">
        <w:rPr>
          <w:rFonts w:ascii="Century Gothic" w:eastAsiaTheme="minorEastAsia" w:hAnsi="Century Gothic" w:cs="Consolas"/>
          <w:b/>
          <w:bCs/>
          <w:color w:val="00A7E7"/>
          <w:kern w:val="24"/>
          <w:sz w:val="24"/>
          <w:szCs w:val="24"/>
        </w:rPr>
        <w:t>Important Note</w:t>
      </w:r>
    </w:p>
    <w:p w14:paraId="1261593C" w14:textId="77777777" w:rsidR="005A672F" w:rsidRPr="00643760" w:rsidRDefault="005A672F" w:rsidP="005A672F">
      <w:pPr>
        <w:spacing w:after="0" w:line="240" w:lineRule="auto"/>
        <w:jc w:val="both"/>
        <w:rPr>
          <w:rFonts w:ascii="Century Gothic" w:eastAsiaTheme="minorEastAsia" w:hAnsi="Century Gothic" w:cs="Consolas"/>
          <w:b/>
          <w:bCs/>
          <w:kern w:val="24"/>
          <w:sz w:val="24"/>
          <w:szCs w:val="24"/>
        </w:rPr>
      </w:pPr>
    </w:p>
    <w:p w14:paraId="3BA8FEEE" w14:textId="4944363E" w:rsidR="005A672F" w:rsidRPr="00643760" w:rsidRDefault="005A672F" w:rsidP="005A672F">
      <w:pPr>
        <w:spacing w:after="0"/>
        <w:jc w:val="both"/>
        <w:rPr>
          <w:rFonts w:ascii="Century Gothic" w:hAnsi="Century Gothic"/>
          <w:sz w:val="24"/>
          <w:szCs w:val="24"/>
        </w:rPr>
      </w:pPr>
      <w:r w:rsidRPr="00643760">
        <w:rPr>
          <w:rFonts w:ascii="Century Gothic" w:hAnsi="Century Gothic"/>
          <w:sz w:val="24"/>
          <w:szCs w:val="24"/>
        </w:rPr>
        <w:t>This toolkit contains general guidance. Consider this guidance in light of the user’s own professional advice and specific regulations, guidelines, policies and procedures of each region, institution and department. This tool does not replace manufacturer instructions for use (IFUs)</w:t>
      </w:r>
      <w:r w:rsidR="00666A67">
        <w:rPr>
          <w:rFonts w:ascii="Century Gothic" w:hAnsi="Century Gothic"/>
          <w:sz w:val="24"/>
          <w:szCs w:val="24"/>
        </w:rPr>
        <w:t>,</w:t>
      </w:r>
      <w:r w:rsidRPr="00643760">
        <w:rPr>
          <w:rFonts w:ascii="Century Gothic" w:hAnsi="Century Gothic"/>
          <w:sz w:val="24"/>
          <w:szCs w:val="24"/>
        </w:rPr>
        <w:t xml:space="preserve"> nor does it replace institutional policy/workflows, but it is intended to be used in conjunction with them. This Important Note applies to all parts of this toolkit.</w:t>
      </w:r>
    </w:p>
    <w:p w14:paraId="5D48C9C6" w14:textId="77777777" w:rsidR="005A672F" w:rsidRPr="00643760" w:rsidRDefault="005A672F" w:rsidP="005A672F">
      <w:pPr>
        <w:spacing w:after="0" w:line="240" w:lineRule="auto"/>
        <w:jc w:val="both"/>
        <w:rPr>
          <w:rFonts w:ascii="Century Gothic" w:eastAsiaTheme="minorEastAsia" w:hAnsi="Century Gothic" w:cs="Times New Roman"/>
          <w:sz w:val="24"/>
          <w:szCs w:val="24"/>
        </w:rPr>
      </w:pPr>
    </w:p>
    <w:p w14:paraId="4C719E8D" w14:textId="77777777" w:rsidR="005A672F" w:rsidRPr="00643760" w:rsidRDefault="005A672F" w:rsidP="005A672F">
      <w:pPr>
        <w:spacing w:after="0" w:line="240" w:lineRule="auto"/>
        <w:jc w:val="both"/>
        <w:rPr>
          <w:rFonts w:ascii="Century Gothic" w:eastAsiaTheme="minorEastAsia" w:hAnsi="Century Gothic" w:cs="Consolas"/>
          <w:b/>
          <w:bCs/>
          <w:color w:val="00A7E7"/>
          <w:kern w:val="24"/>
          <w:sz w:val="24"/>
          <w:szCs w:val="24"/>
        </w:rPr>
      </w:pPr>
      <w:r w:rsidRPr="00643760">
        <w:rPr>
          <w:rFonts w:ascii="Century Gothic" w:eastAsiaTheme="minorEastAsia" w:hAnsi="Century Gothic" w:cs="Consolas"/>
          <w:b/>
          <w:bCs/>
          <w:color w:val="00A7E7"/>
          <w:kern w:val="24"/>
          <w:sz w:val="24"/>
          <w:szCs w:val="24"/>
        </w:rPr>
        <w:t>Disclaimer</w:t>
      </w:r>
    </w:p>
    <w:p w14:paraId="3DDC5719" w14:textId="77777777" w:rsidR="005A672F" w:rsidRPr="00643760" w:rsidRDefault="005A672F" w:rsidP="005A672F">
      <w:pPr>
        <w:spacing w:after="0" w:line="240" w:lineRule="auto"/>
        <w:jc w:val="both"/>
        <w:rPr>
          <w:rFonts w:ascii="Century Gothic" w:eastAsiaTheme="minorEastAsia" w:hAnsi="Century Gothic" w:cs="Consolas"/>
          <w:b/>
          <w:bCs/>
          <w:kern w:val="24"/>
          <w:sz w:val="24"/>
          <w:szCs w:val="24"/>
        </w:rPr>
      </w:pPr>
    </w:p>
    <w:p w14:paraId="490625AF" w14:textId="53F64856" w:rsidR="005A672F" w:rsidRPr="00643760" w:rsidRDefault="005A672F" w:rsidP="005A672F">
      <w:pPr>
        <w:spacing w:after="0"/>
        <w:jc w:val="both"/>
        <w:rPr>
          <w:rFonts w:ascii="Century Gothic" w:hAnsi="Century Gothic"/>
          <w:sz w:val="24"/>
          <w:szCs w:val="24"/>
        </w:rPr>
        <w:sectPr w:rsidR="005A672F" w:rsidRPr="00643760" w:rsidSect="00AA2C92">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r w:rsidRPr="00643760">
        <w:rPr>
          <w:rFonts w:ascii="Century Gothic" w:hAnsi="Century Gothic"/>
          <w:sz w:val="24"/>
          <w:szCs w:val="24"/>
        </w:rPr>
        <w:t>Nanosonics will not accept responsibility of any kind for reliance on this tool or related materials and opinions</w:t>
      </w:r>
      <w:r w:rsidR="00232A1E">
        <w:rPr>
          <w:rFonts w:ascii="Century Gothic" w:hAnsi="Century Gothic"/>
          <w:sz w:val="24"/>
          <w:szCs w:val="24"/>
        </w:rPr>
        <w:t>,</w:t>
      </w:r>
      <w:r w:rsidRPr="00643760">
        <w:rPr>
          <w:rFonts w:ascii="Century Gothic" w:hAnsi="Century Gothic"/>
          <w:sz w:val="24"/>
          <w:szCs w:val="24"/>
        </w:rPr>
        <w:t xml:space="preserve"> including any death or injury to persons.  The information, materials and opinions contained here are for general information purposes only, are not intended to constitute legal or other professional advice and should not be relied on or treated as a substitute for specific advice relevant to particular circumstances.  We make no warranties, representations or undertakings about the content (including, without limitation, the quality, accuracy, completeness or fitness for any particular purpose of such content). This Disclaimer applies to all parts of this tool and every department</w:t>
      </w:r>
      <w:r w:rsidR="00232A1E">
        <w:rPr>
          <w:rFonts w:ascii="Century Gothic" w:hAnsi="Century Gothic"/>
          <w:sz w:val="24"/>
          <w:szCs w:val="24"/>
        </w:rPr>
        <w:t>.</w:t>
      </w:r>
    </w:p>
    <w:p w14:paraId="0BE08EFB" w14:textId="1E59946F" w:rsidR="00625F2B" w:rsidRPr="00643760" w:rsidRDefault="00625F2B">
      <w:pPr>
        <w:rPr>
          <w:rFonts w:ascii="Century Gothic" w:hAnsi="Century Gothic"/>
          <w:sz w:val="24"/>
          <w:szCs w:val="24"/>
        </w:rPr>
      </w:pPr>
    </w:p>
    <w:p w14:paraId="40D9F5F2" w14:textId="77777777" w:rsidR="00625F2B" w:rsidRPr="00643760" w:rsidRDefault="00625F2B" w:rsidP="00625F2B">
      <w:pPr>
        <w:spacing w:after="0"/>
        <w:jc w:val="both"/>
        <w:rPr>
          <w:rFonts w:ascii="Century Gothic" w:hAnsi="Century Gothic"/>
          <w:sz w:val="24"/>
          <w:szCs w:val="24"/>
        </w:rPr>
      </w:pPr>
    </w:p>
    <w:p w14:paraId="04BD18B0" w14:textId="77777777" w:rsidR="001F3A69" w:rsidRPr="00643760" w:rsidRDefault="001F3A69" w:rsidP="00625F2B">
      <w:pPr>
        <w:pStyle w:val="Header"/>
        <w:rPr>
          <w:rFonts w:ascii="Century Gothic" w:hAnsi="Century Gothic" w:cs="Consolas"/>
          <w:b/>
          <w:bCs/>
          <w:color w:val="214589"/>
          <w:kern w:val="24"/>
          <w:sz w:val="60"/>
          <w:szCs w:val="60"/>
        </w:rPr>
      </w:pPr>
    </w:p>
    <w:p w14:paraId="6568CE42" w14:textId="77777777" w:rsidR="001F3A69" w:rsidRPr="00643760" w:rsidRDefault="006B5C35" w:rsidP="001F3A69">
      <w:pPr>
        <w:pStyle w:val="Header"/>
        <w:jc w:val="center"/>
        <w:rPr>
          <w:rFonts w:ascii="Century Gothic" w:hAnsi="Century Gothic" w:cs="Consolas"/>
          <w:b/>
          <w:bCs/>
          <w:color w:val="214589"/>
          <w:kern w:val="24"/>
          <w:sz w:val="60"/>
          <w:szCs w:val="60"/>
        </w:rPr>
      </w:pPr>
      <w:r>
        <w:rPr>
          <w:rFonts w:ascii="Century Gothic" w:hAnsi="Century Gothic" w:cs="Consolas"/>
          <w:b/>
          <w:bCs/>
          <w:noProof/>
          <w:color w:val="214589"/>
          <w:kern w:val="24"/>
          <w:sz w:val="60"/>
          <w:szCs w:val="60"/>
          <w:lang w:val="en-AU" w:eastAsia="en-AU"/>
        </w:rPr>
        <w:drawing>
          <wp:inline distT="0" distB="0" distL="0" distR="0" wp14:anchorId="297093C4" wp14:editId="5EE194E0">
            <wp:extent cx="4165600" cy="226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IPT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2260600"/>
                    </a:xfrm>
                    <a:prstGeom prst="rect">
                      <a:avLst/>
                    </a:prstGeom>
                  </pic:spPr>
                </pic:pic>
              </a:graphicData>
            </a:graphic>
          </wp:inline>
        </w:drawing>
      </w:r>
    </w:p>
    <w:p w14:paraId="00BDAE45" w14:textId="77777777" w:rsidR="001F3A69" w:rsidRPr="00643760" w:rsidRDefault="001F3A69" w:rsidP="001F3A69">
      <w:pPr>
        <w:pStyle w:val="Header"/>
        <w:jc w:val="center"/>
        <w:rPr>
          <w:rFonts w:ascii="Century Gothic" w:hAnsi="Century Gothic" w:cs="Consolas"/>
          <w:b/>
          <w:bCs/>
          <w:color w:val="0C539C"/>
          <w:kern w:val="24"/>
          <w:sz w:val="60"/>
          <w:szCs w:val="60"/>
        </w:rPr>
      </w:pPr>
    </w:p>
    <w:p w14:paraId="07D33CF3" w14:textId="77777777" w:rsidR="001F3A69" w:rsidRPr="00643760" w:rsidRDefault="001F3A69" w:rsidP="001F3A69">
      <w:pPr>
        <w:pStyle w:val="Header"/>
        <w:jc w:val="center"/>
        <w:rPr>
          <w:rFonts w:ascii="Century Gothic" w:hAnsi="Century Gothic" w:cs="Consolas"/>
          <w:b/>
          <w:bCs/>
          <w:color w:val="0C539C"/>
          <w:kern w:val="24"/>
          <w:sz w:val="60"/>
          <w:szCs w:val="60"/>
        </w:rPr>
      </w:pPr>
    </w:p>
    <w:p w14:paraId="4DD5EC60" w14:textId="77777777" w:rsidR="006B5C35" w:rsidRDefault="006B5C35" w:rsidP="001F3A69">
      <w:pPr>
        <w:jc w:val="center"/>
        <w:rPr>
          <w:rFonts w:ascii="Century Gothic" w:hAnsi="Century Gothic" w:cs="Consolas"/>
          <w:b/>
          <w:bCs/>
          <w:color w:val="00A7E7"/>
          <w:kern w:val="24"/>
          <w:sz w:val="60"/>
          <w:szCs w:val="60"/>
        </w:rPr>
      </w:pPr>
    </w:p>
    <w:p w14:paraId="22DA09C3" w14:textId="77777777" w:rsidR="00501213" w:rsidRDefault="00501213" w:rsidP="001F3A69">
      <w:pPr>
        <w:jc w:val="center"/>
        <w:rPr>
          <w:rFonts w:ascii="Century Gothic" w:hAnsi="Century Gothic" w:cs="Consolas"/>
          <w:color w:val="00A7E7"/>
          <w:kern w:val="24"/>
          <w:sz w:val="60"/>
          <w:szCs w:val="60"/>
        </w:rPr>
      </w:pPr>
    </w:p>
    <w:p w14:paraId="21B548C5" w14:textId="77777777" w:rsidR="00501213" w:rsidRPr="00501213" w:rsidRDefault="00501213" w:rsidP="00501213">
      <w:pPr>
        <w:jc w:val="center"/>
        <w:rPr>
          <w:rFonts w:ascii="Century Gothic" w:eastAsiaTheme="majorEastAsia" w:hAnsi="Century Gothic" w:cstheme="majorBidi"/>
          <w:color w:val="7A336A"/>
          <w:kern w:val="24"/>
          <w:sz w:val="120"/>
          <w:szCs w:val="120"/>
        </w:rPr>
      </w:pPr>
      <w:r>
        <w:rPr>
          <w:rFonts w:ascii="Century Gothic" w:hAnsi="Century Gothic" w:cs="Consolas"/>
          <w:color w:val="00A7E7"/>
          <w:kern w:val="24"/>
          <w:sz w:val="60"/>
          <w:szCs w:val="60"/>
        </w:rPr>
        <w:br/>
      </w:r>
      <w:r w:rsidR="001F3A69" w:rsidRPr="006B5C35">
        <w:rPr>
          <w:rFonts w:ascii="Century Gothic" w:hAnsi="Century Gothic" w:cs="Consolas"/>
          <w:color w:val="00A7E7"/>
          <w:kern w:val="24"/>
          <w:sz w:val="60"/>
          <w:szCs w:val="60"/>
        </w:rPr>
        <w:t>Infection Prevention Toolkit</w:t>
      </w:r>
      <w:r w:rsidR="001F3A69" w:rsidRPr="006B5C35">
        <w:rPr>
          <w:rFonts w:ascii="Century Gothic" w:hAnsi="Century Gothic" w:cs="Consolas"/>
          <w:color w:val="0C539C"/>
          <w:kern w:val="24"/>
          <w:sz w:val="60"/>
          <w:szCs w:val="60"/>
        </w:rPr>
        <w:br/>
      </w:r>
      <w:r w:rsidR="001F3A69" w:rsidRPr="006B5C35">
        <w:rPr>
          <w:rFonts w:ascii="Century Gothic" w:eastAsiaTheme="majorEastAsia" w:hAnsi="Century Gothic" w:cstheme="majorBidi"/>
          <w:color w:val="B34B8B"/>
          <w:kern w:val="24"/>
          <w:sz w:val="120"/>
          <w:szCs w:val="120"/>
        </w:rPr>
        <w:t>Tool 2</w:t>
      </w:r>
    </w:p>
    <w:p w14:paraId="42B5799E" w14:textId="77777777" w:rsidR="001F3A69" w:rsidRPr="006B5C35" w:rsidRDefault="001F3A69" w:rsidP="001F3A69">
      <w:pPr>
        <w:jc w:val="center"/>
        <w:rPr>
          <w:rFonts w:ascii="Century Gothic" w:eastAsiaTheme="minorEastAsia" w:hAnsi="Century Gothic" w:cs="Consolas"/>
          <w:color w:val="00A7E7"/>
          <w:kern w:val="24"/>
          <w:sz w:val="36"/>
          <w:szCs w:val="36"/>
        </w:rPr>
      </w:pPr>
      <w:r w:rsidRPr="006B5C35">
        <w:rPr>
          <w:rFonts w:ascii="Century Gothic" w:hAnsi="Century Gothic"/>
          <w:color w:val="00A7E7"/>
          <w:kern w:val="24"/>
          <w:sz w:val="64"/>
          <w:szCs w:val="64"/>
        </w:rPr>
        <w:lastRenderedPageBreak/>
        <w:t>Algorithm</w:t>
      </w:r>
    </w:p>
    <w:p w14:paraId="47078A40" w14:textId="77777777" w:rsidR="00BB1311" w:rsidRPr="00643760" w:rsidRDefault="00BB1311" w:rsidP="001F3A69">
      <w:pPr>
        <w:jc w:val="both"/>
        <w:rPr>
          <w:rFonts w:ascii="Century Gothic" w:hAnsi="Century Gothic"/>
          <w:sz w:val="24"/>
          <w:szCs w:val="24"/>
        </w:rPr>
      </w:pPr>
      <w:r w:rsidRPr="00643760">
        <w:rPr>
          <w:rFonts w:ascii="Century Gothic" w:hAnsi="Century Gothic"/>
          <w:sz w:val="24"/>
          <w:szCs w:val="24"/>
        </w:rPr>
        <w:t xml:space="preserve">This tool is organized by department and provides a range of typical procedures that may be encountered in that department. Probe use and reprocessing requirements based on </w:t>
      </w:r>
      <w:r w:rsidR="00F54EAD" w:rsidRPr="00643760">
        <w:rPr>
          <w:rFonts w:ascii="Century Gothic" w:hAnsi="Century Gothic"/>
          <w:sz w:val="24"/>
          <w:szCs w:val="24"/>
        </w:rPr>
        <w:t xml:space="preserve">federal </w:t>
      </w:r>
      <w:r w:rsidRPr="00643760">
        <w:rPr>
          <w:rFonts w:ascii="Century Gothic" w:hAnsi="Century Gothic"/>
          <w:sz w:val="24"/>
          <w:szCs w:val="24"/>
        </w:rPr>
        <w:t xml:space="preserve">guidelines </w:t>
      </w:r>
      <w:r w:rsidR="00A41A47" w:rsidRPr="00643760">
        <w:rPr>
          <w:rFonts w:ascii="Century Gothic" w:hAnsi="Century Gothic"/>
          <w:sz w:val="24"/>
          <w:szCs w:val="24"/>
        </w:rPr>
        <w:t xml:space="preserve">(CDC and FDA) </w:t>
      </w:r>
      <w:r w:rsidRPr="00643760">
        <w:rPr>
          <w:rFonts w:ascii="Century Gothic" w:hAnsi="Century Gothic"/>
          <w:sz w:val="24"/>
          <w:szCs w:val="24"/>
        </w:rPr>
        <w:t xml:space="preserve">and </w:t>
      </w:r>
      <w:r w:rsidR="00A41A47" w:rsidRPr="00643760">
        <w:rPr>
          <w:rFonts w:ascii="Century Gothic" w:hAnsi="Century Gothic"/>
          <w:sz w:val="24"/>
          <w:szCs w:val="24"/>
        </w:rPr>
        <w:t xml:space="preserve">national </w:t>
      </w:r>
      <w:r w:rsidRPr="00643760">
        <w:rPr>
          <w:rFonts w:ascii="Century Gothic" w:hAnsi="Century Gothic"/>
          <w:sz w:val="24"/>
          <w:szCs w:val="24"/>
        </w:rPr>
        <w:t>standa</w:t>
      </w:r>
      <w:r w:rsidR="00E93155" w:rsidRPr="00643760">
        <w:rPr>
          <w:rFonts w:ascii="Century Gothic" w:hAnsi="Century Gothic"/>
          <w:sz w:val="24"/>
          <w:szCs w:val="24"/>
        </w:rPr>
        <w:t xml:space="preserve">rds </w:t>
      </w:r>
      <w:r w:rsidR="00A41A47" w:rsidRPr="00643760">
        <w:rPr>
          <w:rFonts w:ascii="Century Gothic" w:hAnsi="Century Gothic"/>
          <w:sz w:val="24"/>
          <w:szCs w:val="24"/>
        </w:rPr>
        <w:t xml:space="preserve">(AAMI) </w:t>
      </w:r>
      <w:r w:rsidR="00E93155" w:rsidRPr="00643760">
        <w:rPr>
          <w:rFonts w:ascii="Century Gothic" w:hAnsi="Century Gothic"/>
          <w:sz w:val="24"/>
          <w:szCs w:val="24"/>
        </w:rPr>
        <w:t>are presented as a decision-</w:t>
      </w:r>
      <w:r w:rsidRPr="00643760">
        <w:rPr>
          <w:rFonts w:ascii="Century Gothic" w:hAnsi="Century Gothic"/>
          <w:sz w:val="24"/>
          <w:szCs w:val="24"/>
        </w:rPr>
        <w:t>making algorithm. Th</w:t>
      </w:r>
      <w:r w:rsidR="000A3606" w:rsidRPr="00643760">
        <w:rPr>
          <w:rFonts w:ascii="Century Gothic" w:hAnsi="Century Gothic"/>
          <w:sz w:val="24"/>
          <w:szCs w:val="24"/>
        </w:rPr>
        <w:t xml:space="preserve">e </w:t>
      </w:r>
      <w:r w:rsidR="00E93155" w:rsidRPr="00643760">
        <w:rPr>
          <w:rFonts w:ascii="Century Gothic" w:hAnsi="Century Gothic"/>
          <w:sz w:val="24"/>
          <w:szCs w:val="24"/>
        </w:rPr>
        <w:t xml:space="preserve">printable </w:t>
      </w:r>
      <w:r w:rsidR="000A3606" w:rsidRPr="00643760">
        <w:rPr>
          <w:rFonts w:ascii="Century Gothic" w:hAnsi="Century Gothic"/>
          <w:sz w:val="24"/>
          <w:szCs w:val="24"/>
        </w:rPr>
        <w:t xml:space="preserve">flow chart can be </w:t>
      </w:r>
      <w:r w:rsidRPr="00643760">
        <w:rPr>
          <w:rFonts w:ascii="Century Gothic" w:hAnsi="Century Gothic"/>
          <w:sz w:val="24"/>
          <w:szCs w:val="24"/>
        </w:rPr>
        <w:t>displayed throughout office and pr</w:t>
      </w:r>
      <w:r w:rsidR="000A3606" w:rsidRPr="00643760">
        <w:rPr>
          <w:rFonts w:ascii="Century Gothic" w:hAnsi="Century Gothic"/>
          <w:sz w:val="24"/>
          <w:szCs w:val="24"/>
        </w:rPr>
        <w:t>ocedure</w:t>
      </w:r>
      <w:r w:rsidR="00E93155" w:rsidRPr="00643760">
        <w:rPr>
          <w:rFonts w:ascii="Century Gothic" w:hAnsi="Century Gothic"/>
          <w:sz w:val="24"/>
          <w:szCs w:val="24"/>
        </w:rPr>
        <w:t xml:space="preserve"> rooms </w:t>
      </w:r>
      <w:r w:rsidRPr="00643760">
        <w:rPr>
          <w:rFonts w:ascii="Century Gothic" w:hAnsi="Century Gothic"/>
          <w:sz w:val="24"/>
          <w:szCs w:val="24"/>
        </w:rPr>
        <w:t>as a quick reference</w:t>
      </w:r>
      <w:r w:rsidR="000A3606" w:rsidRPr="00643760">
        <w:rPr>
          <w:rFonts w:ascii="Century Gothic" w:hAnsi="Century Gothic"/>
          <w:sz w:val="24"/>
          <w:szCs w:val="24"/>
        </w:rPr>
        <w:t xml:space="preserve"> chart for healthcare workers to</w:t>
      </w:r>
      <w:r w:rsidRPr="00643760">
        <w:rPr>
          <w:rFonts w:ascii="Century Gothic" w:hAnsi="Century Gothic"/>
          <w:sz w:val="24"/>
          <w:szCs w:val="24"/>
        </w:rPr>
        <w:t xml:space="preserve"> determine whether practice is compliant with available guidelines.</w:t>
      </w:r>
    </w:p>
    <w:p w14:paraId="074F89A7" w14:textId="77777777" w:rsidR="00306A3B" w:rsidRPr="00643760" w:rsidRDefault="00BD6B5C" w:rsidP="001F3A69">
      <w:pPr>
        <w:jc w:val="both"/>
        <w:rPr>
          <w:rFonts w:ascii="Century Gothic" w:eastAsiaTheme="minorEastAsia" w:hAnsi="Century Gothic"/>
          <w:b/>
          <w:bCs/>
          <w:i/>
          <w:iCs/>
          <w:color w:val="000000" w:themeColor="text1"/>
          <w:kern w:val="24"/>
          <w:sz w:val="24"/>
          <w:szCs w:val="24"/>
          <w:lang w:eastAsia="en-AU"/>
        </w:rPr>
        <w:sectPr w:rsidR="00306A3B" w:rsidRPr="00643760" w:rsidSect="00E67F13">
          <w:footerReference w:type="default" r:id="rId12"/>
          <w:pgSz w:w="12240" w:h="15840" w:code="1"/>
          <w:pgMar w:top="1440" w:right="1440" w:bottom="1440" w:left="1440" w:header="708" w:footer="708" w:gutter="0"/>
          <w:pgNumType w:start="0"/>
          <w:cols w:space="708"/>
          <w:formProt w:val="0"/>
          <w:titlePg/>
          <w:docGrid w:linePitch="360"/>
        </w:sectPr>
      </w:pPr>
      <w:r w:rsidRPr="00643760">
        <w:rPr>
          <w:rFonts w:ascii="Century Gothic" w:eastAsiaTheme="minorEastAsia" w:hAnsi="Century Gothic"/>
          <w:b/>
          <w:bCs/>
          <w:i/>
          <w:iCs/>
          <w:color w:val="000000" w:themeColor="text1"/>
          <w:kern w:val="24"/>
          <w:sz w:val="24"/>
          <w:szCs w:val="24"/>
          <w:lang w:eastAsia="en-AU"/>
        </w:rPr>
        <w:t>This tool can also be used in conjunction with Tool 1: Part B – Profi</w:t>
      </w:r>
      <w:r w:rsidR="00E93155" w:rsidRPr="00643760">
        <w:rPr>
          <w:rFonts w:ascii="Century Gothic" w:eastAsiaTheme="minorEastAsia" w:hAnsi="Century Gothic"/>
          <w:b/>
          <w:bCs/>
          <w:i/>
          <w:iCs/>
          <w:color w:val="000000" w:themeColor="text1"/>
          <w:kern w:val="24"/>
          <w:sz w:val="24"/>
          <w:szCs w:val="24"/>
          <w:lang w:eastAsia="en-AU"/>
        </w:rPr>
        <w:t>le to determine whether</w:t>
      </w:r>
      <w:r w:rsidRPr="00643760">
        <w:rPr>
          <w:rFonts w:ascii="Century Gothic" w:eastAsiaTheme="minorEastAsia" w:hAnsi="Century Gothic"/>
          <w:b/>
          <w:bCs/>
          <w:i/>
          <w:iCs/>
          <w:color w:val="000000" w:themeColor="text1"/>
          <w:kern w:val="24"/>
          <w:sz w:val="24"/>
          <w:szCs w:val="24"/>
          <w:lang w:eastAsia="en-AU"/>
        </w:rPr>
        <w:t xml:space="preserve"> policy and practice comply with best practice recommendations.</w:t>
      </w:r>
    </w:p>
    <w:p w14:paraId="11607B53" w14:textId="77777777" w:rsidR="00FC11DA" w:rsidRPr="00643760" w:rsidRDefault="0009559B" w:rsidP="00FC11DA">
      <w:pPr>
        <w:jc w:val="center"/>
        <w:rPr>
          <w:rFonts w:ascii="Century Gothic" w:hAnsi="Century Gothic"/>
          <w:color w:val="00A7E7"/>
          <w:sz w:val="20"/>
        </w:rPr>
      </w:pPr>
      <w:r w:rsidRPr="00643760">
        <w:rPr>
          <w:rFonts w:ascii="Century Gothic" w:hAnsi="Century Gothic" w:cs="Consolas"/>
          <w:color w:val="00A7E7"/>
          <w:sz w:val="44"/>
        </w:rPr>
        <w:lastRenderedPageBreak/>
        <w:t>Guidelines</w:t>
      </w:r>
    </w:p>
    <w:p w14:paraId="3D67E6B6" w14:textId="367CEBEF" w:rsidR="00FC11DA" w:rsidRPr="00643760" w:rsidRDefault="00FC11DA" w:rsidP="001F3A69">
      <w:pPr>
        <w:jc w:val="both"/>
        <w:rPr>
          <w:rFonts w:ascii="Century Gothic" w:hAnsi="Century Gothic"/>
          <w:sz w:val="24"/>
        </w:rPr>
      </w:pPr>
      <w:r w:rsidRPr="00643760">
        <w:rPr>
          <w:rFonts w:ascii="Century Gothic" w:hAnsi="Century Gothic"/>
          <w:sz w:val="24"/>
        </w:rPr>
        <w:t>The following tool is based on the Spaulding classification system which is referenced in the Centers for Disease Control and Prevention (CDC) guidelines and American National Standards Institute (ANSI)/Association for the Advancement of Medical Instrumentation (AAMI) standards.</w:t>
      </w:r>
      <w:r w:rsidRPr="00643760">
        <w:rPr>
          <w:rFonts w:ascii="Century Gothic" w:hAnsi="Century Gothic"/>
          <w:sz w:val="24"/>
          <w:vertAlign w:val="superscript"/>
        </w:rPr>
        <w:t>1,2</w:t>
      </w:r>
      <w:r w:rsidRPr="00643760">
        <w:rPr>
          <w:rFonts w:ascii="Century Gothic" w:hAnsi="Century Gothic"/>
          <w:sz w:val="24"/>
        </w:rPr>
        <w:t xml:space="preserve"> The Centers for Medicare &amp; Medicaid Services (CMS) and The Joint Commission (TJC) refer to these documents for accreditation of health care facilities, and are consistent with the US Food and Drug Administration (FDA) guidance documents.</w:t>
      </w:r>
      <w:r w:rsidRPr="00643760">
        <w:rPr>
          <w:rFonts w:ascii="Century Gothic" w:hAnsi="Century Gothic"/>
          <w:sz w:val="24"/>
          <w:vertAlign w:val="superscript"/>
        </w:rPr>
        <w:t>3-</w:t>
      </w:r>
      <w:r w:rsidR="00340E4F" w:rsidRPr="00643760">
        <w:rPr>
          <w:rFonts w:ascii="Century Gothic" w:hAnsi="Century Gothic"/>
          <w:sz w:val="24"/>
          <w:vertAlign w:val="superscript"/>
        </w:rPr>
        <w:t>7</w:t>
      </w:r>
    </w:p>
    <w:p w14:paraId="560A9980" w14:textId="77777777" w:rsidR="004A6443" w:rsidRPr="00643760" w:rsidRDefault="00FC11DA" w:rsidP="001F3A69">
      <w:pPr>
        <w:jc w:val="both"/>
        <w:rPr>
          <w:rFonts w:ascii="Century Gothic" w:hAnsi="Century Gothic"/>
          <w:sz w:val="24"/>
        </w:rPr>
      </w:pPr>
      <w:r w:rsidRPr="00643760">
        <w:rPr>
          <w:rFonts w:ascii="Century Gothic" w:hAnsi="Century Gothic"/>
          <w:sz w:val="24"/>
        </w:rPr>
        <w:t>The Spaulding classification system dictates the level of disinfection or sterilization a medical device should be subjected to based on the degree of infection risk involved with its use and contact sites in patients.</w:t>
      </w:r>
      <w:r w:rsidR="00BB1311" w:rsidRPr="00643760">
        <w:rPr>
          <w:rFonts w:ascii="Century Gothic" w:hAnsi="Century Gothic"/>
          <w:sz w:val="24"/>
        </w:rPr>
        <w:t xml:space="preserve"> The definitions below are drawn from CDC, </w:t>
      </w:r>
      <w:r w:rsidR="00A11957" w:rsidRPr="00643760">
        <w:rPr>
          <w:rFonts w:ascii="Century Gothic" w:hAnsi="Century Gothic"/>
          <w:sz w:val="24"/>
        </w:rPr>
        <w:t>FDA</w:t>
      </w:r>
      <w:r w:rsidR="00A41A47" w:rsidRPr="00643760">
        <w:rPr>
          <w:rFonts w:ascii="Century Gothic" w:hAnsi="Century Gothic"/>
          <w:sz w:val="24"/>
        </w:rPr>
        <w:t xml:space="preserve"> </w:t>
      </w:r>
      <w:r w:rsidR="00BB1311" w:rsidRPr="00643760">
        <w:rPr>
          <w:rFonts w:ascii="Century Gothic" w:hAnsi="Century Gothic"/>
          <w:sz w:val="24"/>
        </w:rPr>
        <w:t>and AAMI:</w:t>
      </w:r>
      <w:r w:rsidRPr="00643760">
        <w:rPr>
          <w:rFonts w:ascii="Century Gothic" w:hAnsi="Century Gothic"/>
          <w:sz w:val="24"/>
        </w:rPr>
        <w:t xml:space="preserve"> </w:t>
      </w:r>
    </w:p>
    <w:p w14:paraId="6FAFA4FB" w14:textId="77777777" w:rsidR="00FC11DA" w:rsidRPr="00643760" w:rsidRDefault="00FC11DA" w:rsidP="001F3A69">
      <w:pPr>
        <w:ind w:left="390"/>
        <w:jc w:val="both"/>
        <w:rPr>
          <w:rFonts w:ascii="Century Gothic" w:hAnsi="Century Gothic"/>
          <w:sz w:val="24"/>
          <w:szCs w:val="20"/>
        </w:rPr>
      </w:pPr>
      <w:r w:rsidRPr="00643760">
        <w:rPr>
          <w:rFonts w:ascii="Century Gothic" w:hAnsi="Century Gothic"/>
          <w:b/>
          <w:sz w:val="24"/>
          <w:szCs w:val="20"/>
        </w:rPr>
        <w:t>Non-critical devices</w:t>
      </w:r>
      <w:r w:rsidRPr="00643760">
        <w:rPr>
          <w:rFonts w:ascii="Century Gothic" w:hAnsi="Century Gothic"/>
          <w:sz w:val="24"/>
          <w:szCs w:val="20"/>
        </w:rPr>
        <w:t xml:space="preserve"> –</w:t>
      </w:r>
      <w:r w:rsidR="001F771C" w:rsidRPr="00643760">
        <w:rPr>
          <w:rFonts w:ascii="Century Gothic" w:hAnsi="Century Gothic"/>
          <w:sz w:val="24"/>
          <w:szCs w:val="20"/>
        </w:rPr>
        <w:t xml:space="preserve"> only contact intact pat</w:t>
      </w:r>
      <w:r w:rsidR="00E93155" w:rsidRPr="00643760">
        <w:rPr>
          <w:rFonts w:ascii="Century Gothic" w:hAnsi="Century Gothic"/>
          <w:sz w:val="24"/>
          <w:szCs w:val="20"/>
        </w:rPr>
        <w:t>ient skin and do not penetrate skin or contact</w:t>
      </w:r>
      <w:r w:rsidR="001F771C" w:rsidRPr="00643760">
        <w:rPr>
          <w:rFonts w:ascii="Century Gothic" w:hAnsi="Century Gothic"/>
          <w:sz w:val="24"/>
          <w:szCs w:val="20"/>
        </w:rPr>
        <w:t xml:space="preserve"> mucous membranes</w:t>
      </w:r>
      <w:r w:rsidRPr="00643760">
        <w:rPr>
          <w:rFonts w:ascii="Century Gothic" w:hAnsi="Century Gothic"/>
          <w:sz w:val="24"/>
          <w:szCs w:val="20"/>
        </w:rPr>
        <w:t xml:space="preserve">. They require </w:t>
      </w:r>
      <w:r w:rsidRPr="00643760">
        <w:rPr>
          <w:rFonts w:ascii="Century Gothic" w:hAnsi="Century Gothic"/>
          <w:b/>
          <w:sz w:val="24"/>
          <w:szCs w:val="20"/>
        </w:rPr>
        <w:t>low-level disinfection</w:t>
      </w:r>
      <w:r w:rsidRPr="00643760">
        <w:rPr>
          <w:rFonts w:ascii="Century Gothic" w:hAnsi="Century Gothic"/>
          <w:sz w:val="24"/>
          <w:szCs w:val="20"/>
        </w:rPr>
        <w:t xml:space="preserve"> (LLD). </w:t>
      </w:r>
    </w:p>
    <w:p w14:paraId="40591716" w14:textId="77777777" w:rsidR="00FC11DA" w:rsidRPr="00643760" w:rsidRDefault="00FC11DA" w:rsidP="001F3A69">
      <w:pPr>
        <w:ind w:left="390"/>
        <w:jc w:val="both"/>
        <w:rPr>
          <w:rFonts w:ascii="Century Gothic" w:hAnsi="Century Gothic"/>
          <w:sz w:val="24"/>
        </w:rPr>
      </w:pPr>
      <w:r w:rsidRPr="00643760">
        <w:rPr>
          <w:rFonts w:ascii="Century Gothic" w:hAnsi="Century Gothic"/>
          <w:b/>
          <w:sz w:val="24"/>
        </w:rPr>
        <w:t>Semi-critical devices</w:t>
      </w:r>
      <w:r w:rsidRPr="00643760">
        <w:rPr>
          <w:rFonts w:ascii="Century Gothic" w:hAnsi="Century Gothic"/>
          <w:sz w:val="24"/>
        </w:rPr>
        <w:t xml:space="preserve"> – </w:t>
      </w:r>
      <w:r w:rsidR="001F771C" w:rsidRPr="00643760">
        <w:rPr>
          <w:rFonts w:ascii="Century Gothic" w:hAnsi="Century Gothic"/>
          <w:sz w:val="24"/>
        </w:rPr>
        <w:t>contact mucous membranes or non</w:t>
      </w:r>
      <w:r w:rsidR="00E93155" w:rsidRPr="00643760">
        <w:rPr>
          <w:rFonts w:ascii="Century Gothic" w:hAnsi="Century Gothic"/>
          <w:sz w:val="24"/>
        </w:rPr>
        <w:t>-</w:t>
      </w:r>
      <w:r w:rsidR="001F771C" w:rsidRPr="00643760">
        <w:rPr>
          <w:rFonts w:ascii="Century Gothic" w:hAnsi="Century Gothic"/>
          <w:sz w:val="24"/>
        </w:rPr>
        <w:t xml:space="preserve">intact skin, but do not ordinarily </w:t>
      </w:r>
      <w:r w:rsidR="00E93155" w:rsidRPr="00643760">
        <w:rPr>
          <w:rFonts w:ascii="Century Gothic" w:hAnsi="Century Gothic"/>
          <w:sz w:val="24"/>
        </w:rPr>
        <w:t>enter the bloodstream</w:t>
      </w:r>
      <w:r w:rsidR="001F771C" w:rsidRPr="00643760">
        <w:rPr>
          <w:rFonts w:ascii="Century Gothic" w:hAnsi="Century Gothic"/>
          <w:sz w:val="24"/>
        </w:rPr>
        <w:t xml:space="preserve"> or other normally sterile areas of the body. </w:t>
      </w:r>
      <w:r w:rsidR="00C17C2B" w:rsidRPr="00643760">
        <w:rPr>
          <w:rFonts w:ascii="Century Gothic" w:hAnsi="Century Gothic"/>
          <w:sz w:val="24"/>
        </w:rPr>
        <w:t>Examples of non-intact skin include</w:t>
      </w:r>
      <w:r w:rsidRPr="00643760">
        <w:rPr>
          <w:rFonts w:ascii="Century Gothic" w:hAnsi="Century Gothic"/>
          <w:sz w:val="24"/>
        </w:rPr>
        <w:t xml:space="preserve"> skin with cuts, abrasions, dermatitis, chapped skin, rash, psoriasis, broken skin</w:t>
      </w:r>
      <w:r w:rsidR="00E93155" w:rsidRPr="00643760">
        <w:rPr>
          <w:rFonts w:ascii="Century Gothic" w:hAnsi="Century Gothic"/>
          <w:sz w:val="24"/>
        </w:rPr>
        <w:t>, burns, cellulitis</w:t>
      </w:r>
      <w:r w:rsidRPr="00643760">
        <w:rPr>
          <w:rFonts w:ascii="Century Gothic" w:hAnsi="Century Gothic"/>
          <w:sz w:val="24"/>
        </w:rPr>
        <w:t>.</w:t>
      </w:r>
      <w:r w:rsidR="000213FB" w:rsidRPr="00643760">
        <w:rPr>
          <w:rFonts w:ascii="Century Gothic" w:hAnsi="Century Gothic"/>
          <w:sz w:val="24"/>
        </w:rPr>
        <w:t xml:space="preserve"> </w:t>
      </w:r>
      <w:r w:rsidR="00BB0FD6" w:rsidRPr="00643760">
        <w:rPr>
          <w:rFonts w:ascii="Century Gothic" w:hAnsi="Century Gothic"/>
          <w:sz w:val="24"/>
        </w:rPr>
        <w:t>At a minimum</w:t>
      </w:r>
      <w:r w:rsidR="000213FB" w:rsidRPr="00643760">
        <w:rPr>
          <w:rFonts w:ascii="Century Gothic" w:hAnsi="Century Gothic"/>
          <w:sz w:val="24"/>
        </w:rPr>
        <w:t>,</w:t>
      </w:r>
      <w:r w:rsidR="00BB0FD6" w:rsidRPr="00643760">
        <w:rPr>
          <w:rFonts w:ascii="Century Gothic" w:hAnsi="Century Gothic"/>
          <w:sz w:val="24"/>
        </w:rPr>
        <w:t xml:space="preserve"> the</w:t>
      </w:r>
      <w:r w:rsidR="00A41A47" w:rsidRPr="00643760">
        <w:rPr>
          <w:rFonts w:ascii="Century Gothic" w:hAnsi="Century Gothic"/>
          <w:sz w:val="24"/>
        </w:rPr>
        <w:t xml:space="preserve">y </w:t>
      </w:r>
      <w:r w:rsidRPr="00643760">
        <w:rPr>
          <w:rFonts w:ascii="Century Gothic" w:hAnsi="Century Gothic"/>
          <w:sz w:val="24"/>
        </w:rPr>
        <w:t xml:space="preserve">require </w:t>
      </w:r>
      <w:r w:rsidRPr="00643760">
        <w:rPr>
          <w:rFonts w:ascii="Century Gothic" w:hAnsi="Century Gothic"/>
          <w:b/>
          <w:sz w:val="24"/>
        </w:rPr>
        <w:t xml:space="preserve">high-level disinfection </w:t>
      </w:r>
      <w:r w:rsidRPr="00643760">
        <w:rPr>
          <w:rFonts w:ascii="Century Gothic" w:hAnsi="Century Gothic"/>
          <w:sz w:val="24"/>
        </w:rPr>
        <w:t>(HLD).</w:t>
      </w:r>
    </w:p>
    <w:p w14:paraId="34D78208" w14:textId="77777777" w:rsidR="004A6443" w:rsidRPr="00643760" w:rsidRDefault="00FC11DA" w:rsidP="004A6443">
      <w:pPr>
        <w:ind w:left="390"/>
        <w:rPr>
          <w:rFonts w:ascii="Century Gothic" w:hAnsi="Century Gothic"/>
          <w:sz w:val="24"/>
          <w:szCs w:val="20"/>
        </w:rPr>
      </w:pPr>
      <w:r w:rsidRPr="00643760">
        <w:rPr>
          <w:rFonts w:ascii="Century Gothic" w:hAnsi="Century Gothic"/>
          <w:b/>
          <w:sz w:val="24"/>
          <w:szCs w:val="20"/>
        </w:rPr>
        <w:t>Critical devices</w:t>
      </w:r>
      <w:r w:rsidRPr="00643760">
        <w:rPr>
          <w:rFonts w:ascii="Century Gothic" w:hAnsi="Century Gothic"/>
          <w:sz w:val="24"/>
          <w:szCs w:val="20"/>
        </w:rPr>
        <w:t xml:space="preserve"> – </w:t>
      </w:r>
      <w:r w:rsidR="00EC07F2" w:rsidRPr="00643760">
        <w:rPr>
          <w:rFonts w:ascii="Century Gothic" w:hAnsi="Century Gothic"/>
          <w:sz w:val="24"/>
          <w:szCs w:val="20"/>
        </w:rPr>
        <w:t>enter or contact sterile tissue, the bloodstream or are int</w:t>
      </w:r>
      <w:r w:rsidR="003F5DC6" w:rsidRPr="00643760">
        <w:rPr>
          <w:rFonts w:ascii="Century Gothic" w:hAnsi="Century Gothic"/>
          <w:sz w:val="24"/>
          <w:szCs w:val="20"/>
        </w:rPr>
        <w:t>roduced into sterile body cavities</w:t>
      </w:r>
      <w:r w:rsidR="00EC07F2" w:rsidRPr="00643760">
        <w:rPr>
          <w:rFonts w:ascii="Century Gothic" w:hAnsi="Century Gothic"/>
          <w:sz w:val="24"/>
          <w:szCs w:val="20"/>
        </w:rPr>
        <w:t xml:space="preserve"> during use.  </w:t>
      </w:r>
      <w:r w:rsidRPr="00643760">
        <w:rPr>
          <w:rFonts w:ascii="Century Gothic" w:hAnsi="Century Gothic"/>
          <w:sz w:val="24"/>
          <w:szCs w:val="20"/>
        </w:rPr>
        <w:t xml:space="preserve">They require </w:t>
      </w:r>
      <w:r w:rsidRPr="00643760">
        <w:rPr>
          <w:rFonts w:ascii="Century Gothic" w:hAnsi="Century Gothic"/>
          <w:b/>
          <w:sz w:val="24"/>
          <w:szCs w:val="20"/>
        </w:rPr>
        <w:t>sterilization</w:t>
      </w:r>
      <w:r w:rsidRPr="00643760">
        <w:rPr>
          <w:rFonts w:ascii="Century Gothic" w:hAnsi="Century Gothic"/>
          <w:sz w:val="24"/>
          <w:szCs w:val="20"/>
        </w:rPr>
        <w:t>.</w:t>
      </w:r>
      <w:r w:rsidR="004A6443" w:rsidRPr="00643760">
        <w:rPr>
          <w:rFonts w:ascii="Century Gothic" w:hAnsi="Century Gothic"/>
          <w:sz w:val="24"/>
          <w:szCs w:val="20"/>
        </w:rPr>
        <w:br/>
      </w:r>
    </w:p>
    <w:p w14:paraId="4AA43AFB" w14:textId="420826E5" w:rsidR="00EC78B6" w:rsidRPr="00643760" w:rsidRDefault="007B4B9B" w:rsidP="001F3A69">
      <w:pPr>
        <w:jc w:val="both"/>
        <w:rPr>
          <w:rFonts w:ascii="Century Gothic" w:hAnsi="Century Gothic"/>
          <w:sz w:val="24"/>
        </w:rPr>
      </w:pPr>
      <w:r w:rsidRPr="00643760">
        <w:rPr>
          <w:rFonts w:ascii="Century Gothic" w:hAnsi="Century Gothic"/>
          <w:sz w:val="24"/>
        </w:rPr>
        <w:t xml:space="preserve">The classification of an ultrasound probe as a non-critical device is limited to use in </w:t>
      </w:r>
      <w:r w:rsidR="00FC11DA" w:rsidRPr="00643760">
        <w:rPr>
          <w:rFonts w:ascii="Century Gothic" w:hAnsi="Century Gothic"/>
          <w:sz w:val="24"/>
        </w:rPr>
        <w:t>external scans across healthy skin (e.g.</w:t>
      </w:r>
      <w:r w:rsidR="00E93155" w:rsidRPr="00643760">
        <w:rPr>
          <w:rFonts w:ascii="Century Gothic" w:hAnsi="Century Gothic"/>
          <w:sz w:val="24"/>
        </w:rPr>
        <w:t>,</w:t>
      </w:r>
      <w:r w:rsidR="00FC11DA" w:rsidRPr="00643760">
        <w:rPr>
          <w:rFonts w:ascii="Century Gothic" w:hAnsi="Century Gothic"/>
          <w:sz w:val="24"/>
        </w:rPr>
        <w:t xml:space="preserve"> transabdominal scans). Semi-critical ultrasound probes are those used in endocavitary scans (e.g.</w:t>
      </w:r>
      <w:r w:rsidR="00E93155" w:rsidRPr="00643760">
        <w:rPr>
          <w:rFonts w:ascii="Century Gothic" w:hAnsi="Century Gothic"/>
          <w:sz w:val="24"/>
        </w:rPr>
        <w:t>,</w:t>
      </w:r>
      <w:r w:rsidR="00FC11DA" w:rsidRPr="00643760">
        <w:rPr>
          <w:rFonts w:ascii="Century Gothic" w:hAnsi="Century Gothic"/>
          <w:sz w:val="24"/>
        </w:rPr>
        <w:t xml:space="preserve"> transvaginal, transrectal) a</w:t>
      </w:r>
      <w:r w:rsidR="00E93155" w:rsidRPr="00643760">
        <w:rPr>
          <w:rFonts w:ascii="Century Gothic" w:hAnsi="Century Gothic"/>
          <w:sz w:val="24"/>
        </w:rPr>
        <w:t>nd external scans with non-intact</w:t>
      </w:r>
      <w:r w:rsidR="00FC11DA" w:rsidRPr="00643760">
        <w:rPr>
          <w:rFonts w:ascii="Century Gothic" w:hAnsi="Century Gothic"/>
          <w:sz w:val="24"/>
        </w:rPr>
        <w:t xml:space="preserve"> skin in the scan region. The CDC</w:t>
      </w:r>
      <w:r w:rsidR="000213FB" w:rsidRPr="00643760">
        <w:rPr>
          <w:rFonts w:ascii="Century Gothic" w:hAnsi="Century Gothic"/>
          <w:sz w:val="24"/>
        </w:rPr>
        <w:t xml:space="preserve"> and FDA</w:t>
      </w:r>
      <w:r w:rsidR="00FC11DA" w:rsidRPr="00643760">
        <w:rPr>
          <w:rFonts w:ascii="Century Gothic" w:hAnsi="Century Gothic"/>
          <w:sz w:val="24"/>
        </w:rPr>
        <w:t xml:space="preserve"> guidelines require semi-critical ultrasound probes to undergo high level disinfection.</w:t>
      </w:r>
      <w:r w:rsidR="00FC11DA" w:rsidRPr="00643760">
        <w:rPr>
          <w:rFonts w:ascii="Century Gothic" w:hAnsi="Century Gothic"/>
          <w:sz w:val="24"/>
          <w:vertAlign w:val="superscript"/>
        </w:rPr>
        <w:t>1</w:t>
      </w:r>
      <w:r w:rsidR="000213FB" w:rsidRPr="00643760">
        <w:rPr>
          <w:rFonts w:ascii="Century Gothic" w:hAnsi="Century Gothic"/>
          <w:sz w:val="24"/>
          <w:vertAlign w:val="superscript"/>
        </w:rPr>
        <w:t>,3</w:t>
      </w:r>
      <w:r w:rsidR="00FC11DA" w:rsidRPr="00643760">
        <w:rPr>
          <w:rFonts w:ascii="Century Gothic" w:hAnsi="Century Gothic"/>
          <w:sz w:val="24"/>
        </w:rPr>
        <w:t xml:space="preserve"> </w:t>
      </w:r>
      <w:r w:rsidR="00D913AC" w:rsidRPr="00643760">
        <w:rPr>
          <w:rFonts w:ascii="Century Gothic" w:hAnsi="Century Gothic"/>
          <w:sz w:val="24"/>
        </w:rPr>
        <w:t>Critical ultrasound probes include those used in interventional procedures</w:t>
      </w:r>
      <w:r w:rsidR="0070388E">
        <w:rPr>
          <w:rFonts w:ascii="Century Gothic" w:hAnsi="Century Gothic"/>
          <w:sz w:val="24"/>
        </w:rPr>
        <w:t>,</w:t>
      </w:r>
      <w:r w:rsidR="00D913AC" w:rsidRPr="00643760">
        <w:rPr>
          <w:rFonts w:ascii="Century Gothic" w:hAnsi="Century Gothic"/>
          <w:sz w:val="24"/>
        </w:rPr>
        <w:t xml:space="preserve"> such as surgeries in the operating room, minor procedures in interventional radiology, as well as probes used to </w:t>
      </w:r>
      <w:r w:rsidR="00254CE4" w:rsidRPr="00643760">
        <w:rPr>
          <w:rFonts w:ascii="Century Gothic" w:hAnsi="Century Gothic"/>
          <w:sz w:val="24"/>
        </w:rPr>
        <w:t>guide percutaneous procedures where contact with the puncture site is possible</w:t>
      </w:r>
      <w:r w:rsidR="00EC07F2" w:rsidRPr="00643760">
        <w:rPr>
          <w:rFonts w:ascii="Century Gothic" w:hAnsi="Century Gothic"/>
          <w:sz w:val="24"/>
        </w:rPr>
        <w:t xml:space="preserve"> (</w:t>
      </w:r>
      <w:r w:rsidR="00FC11DA" w:rsidRPr="00643760">
        <w:rPr>
          <w:rFonts w:ascii="Century Gothic" w:hAnsi="Century Gothic"/>
          <w:sz w:val="24"/>
        </w:rPr>
        <w:t>e.g.</w:t>
      </w:r>
      <w:r w:rsidR="00E93155" w:rsidRPr="00643760">
        <w:rPr>
          <w:rFonts w:ascii="Century Gothic" w:hAnsi="Century Gothic"/>
          <w:sz w:val="24"/>
        </w:rPr>
        <w:t>,</w:t>
      </w:r>
      <w:r w:rsidR="00FC11DA" w:rsidRPr="00643760">
        <w:rPr>
          <w:rFonts w:ascii="Century Gothic" w:hAnsi="Century Gothic"/>
          <w:sz w:val="24"/>
        </w:rPr>
        <w:t xml:space="preserve"> </w:t>
      </w:r>
      <w:r w:rsidR="00EC07F2" w:rsidRPr="00643760">
        <w:rPr>
          <w:rFonts w:ascii="Century Gothic" w:hAnsi="Century Gothic"/>
          <w:sz w:val="24"/>
        </w:rPr>
        <w:t xml:space="preserve">ultrasound guided </w:t>
      </w:r>
      <w:r w:rsidR="00FC11DA" w:rsidRPr="00643760">
        <w:rPr>
          <w:rFonts w:ascii="Century Gothic" w:hAnsi="Century Gothic"/>
          <w:sz w:val="24"/>
        </w:rPr>
        <w:t xml:space="preserve">biopsies, injections, cannulations). </w:t>
      </w:r>
      <w:r w:rsidRPr="00643760">
        <w:rPr>
          <w:rFonts w:ascii="Century Gothic" w:hAnsi="Century Gothic"/>
          <w:sz w:val="24"/>
        </w:rPr>
        <w:t>I</w:t>
      </w:r>
      <w:r w:rsidR="00FC11DA" w:rsidRPr="00643760">
        <w:rPr>
          <w:rFonts w:ascii="Century Gothic" w:hAnsi="Century Gothic"/>
          <w:sz w:val="24"/>
        </w:rPr>
        <w:t>nvasive procedures confer a high risk of infection transmission as they access sterile body sites, requiring a sterile fie</w:t>
      </w:r>
      <w:r w:rsidR="00D913AC" w:rsidRPr="00643760">
        <w:rPr>
          <w:rFonts w:ascii="Century Gothic" w:hAnsi="Century Gothic"/>
          <w:sz w:val="24"/>
        </w:rPr>
        <w:t xml:space="preserve">ld and sterile instrumentation. </w:t>
      </w:r>
      <w:r w:rsidR="00FC11DA" w:rsidRPr="00643760">
        <w:rPr>
          <w:rFonts w:ascii="Century Gothic" w:hAnsi="Century Gothic"/>
          <w:sz w:val="24"/>
        </w:rPr>
        <w:t xml:space="preserve">If critical ultrasound probes cannot undergo </w:t>
      </w:r>
      <w:r w:rsidR="00FC11DA" w:rsidRPr="00643760">
        <w:rPr>
          <w:rFonts w:ascii="Century Gothic" w:hAnsi="Century Gothic"/>
          <w:sz w:val="24"/>
        </w:rPr>
        <w:lastRenderedPageBreak/>
        <w:t>sterilization, the CDC provides the concession to minimally high</w:t>
      </w:r>
      <w:r w:rsidR="006A4246">
        <w:rPr>
          <w:rFonts w:ascii="Century Gothic" w:hAnsi="Century Gothic"/>
          <w:sz w:val="24"/>
        </w:rPr>
        <w:t>-</w:t>
      </w:r>
      <w:r w:rsidR="00FC11DA" w:rsidRPr="00643760">
        <w:rPr>
          <w:rFonts w:ascii="Century Gothic" w:hAnsi="Century Gothic"/>
          <w:sz w:val="24"/>
        </w:rPr>
        <w:t>level disinfect these probes with use of a sterile sheath</w:t>
      </w:r>
      <w:r w:rsidR="00D016C7" w:rsidRPr="00643760">
        <w:rPr>
          <w:rFonts w:ascii="Century Gothic" w:hAnsi="Century Gothic"/>
          <w:sz w:val="24"/>
        </w:rPr>
        <w:t>.</w:t>
      </w:r>
      <w:r w:rsidR="00D016C7" w:rsidRPr="00643760">
        <w:rPr>
          <w:rFonts w:ascii="Century Gothic" w:hAnsi="Century Gothic"/>
          <w:sz w:val="24"/>
          <w:vertAlign w:val="superscript"/>
        </w:rPr>
        <w:t>1</w:t>
      </w:r>
      <w:r w:rsidR="00D016C7" w:rsidRPr="00643760">
        <w:rPr>
          <w:rFonts w:ascii="Century Gothic" w:hAnsi="Century Gothic"/>
          <w:sz w:val="24"/>
        </w:rPr>
        <w:t xml:space="preserve"> See</w:t>
      </w:r>
      <w:r w:rsidR="00EC78B6" w:rsidRPr="00643760">
        <w:rPr>
          <w:rFonts w:ascii="Century Gothic" w:hAnsi="Century Gothic"/>
          <w:sz w:val="24"/>
        </w:rPr>
        <w:t xml:space="preserve"> </w:t>
      </w:r>
      <w:r w:rsidR="00BF7BD4" w:rsidRPr="00643760">
        <w:rPr>
          <w:rFonts w:ascii="Century Gothic" w:hAnsi="Century Gothic"/>
          <w:sz w:val="24"/>
        </w:rPr>
        <w:t>Box 1 and 2</w:t>
      </w:r>
      <w:r w:rsidR="00D016C7" w:rsidRPr="00643760">
        <w:rPr>
          <w:rFonts w:ascii="Century Gothic" w:hAnsi="Century Gothic"/>
          <w:sz w:val="24"/>
        </w:rPr>
        <w:t xml:space="preserve"> for excerpts from the CDC and FDA guidelines</w:t>
      </w:r>
      <w:r w:rsidR="00BF7BD4" w:rsidRPr="00643760">
        <w:rPr>
          <w:rFonts w:ascii="Century Gothic" w:hAnsi="Century Gothic"/>
          <w:sz w:val="24"/>
        </w:rPr>
        <w:t>.</w:t>
      </w:r>
      <w:r w:rsidR="00FC11DA" w:rsidRPr="00643760">
        <w:rPr>
          <w:rFonts w:ascii="Century Gothic" w:hAnsi="Century Gothic"/>
          <w:sz w:val="24"/>
          <w:vertAlign w:val="superscript"/>
        </w:rPr>
        <w:t>1</w:t>
      </w:r>
      <w:r w:rsidR="00D016C7" w:rsidRPr="00643760">
        <w:rPr>
          <w:rFonts w:ascii="Century Gothic" w:hAnsi="Century Gothic"/>
          <w:sz w:val="24"/>
          <w:vertAlign w:val="superscript"/>
        </w:rPr>
        <w:t>,3</w:t>
      </w:r>
    </w:p>
    <w:p w14:paraId="1977935E" w14:textId="77777777" w:rsidR="00FC11DA" w:rsidRPr="00643760" w:rsidRDefault="00FC11DA" w:rsidP="00FC11DA">
      <w:pPr>
        <w:rPr>
          <w:rFonts w:ascii="Century Gothic" w:hAnsi="Century Gothic"/>
          <w:sz w:val="24"/>
          <w:vertAlign w:val="superscript"/>
        </w:rPr>
      </w:pPr>
    </w:p>
    <w:p w14:paraId="1B5D2B02" w14:textId="77777777" w:rsidR="00FC11DA" w:rsidRPr="00643760" w:rsidRDefault="004A6443" w:rsidP="00FC11DA">
      <w:pPr>
        <w:rPr>
          <w:rFonts w:ascii="Century Gothic" w:hAnsi="Century Gothic"/>
          <w:sz w:val="24"/>
          <w:vertAlign w:val="superscript"/>
        </w:rPr>
      </w:pPr>
      <w:r w:rsidRPr="00643760">
        <w:rPr>
          <w:rFonts w:ascii="Century Gothic" w:hAnsi="Century Gothic"/>
          <w:noProof/>
          <w:sz w:val="24"/>
          <w:highlight w:val="yellow"/>
          <w:lang w:val="en-AU" w:eastAsia="en-AU"/>
        </w:rPr>
        <mc:AlternateContent>
          <mc:Choice Requires="wps">
            <w:drawing>
              <wp:anchor distT="0" distB="0" distL="114300" distR="114300" simplePos="0" relativeHeight="251666432" behindDoc="0" locked="0" layoutInCell="1" allowOverlap="1" wp14:anchorId="0F194AF1" wp14:editId="585CB2CD">
                <wp:simplePos x="0" y="0"/>
                <wp:positionH relativeFrom="margin">
                  <wp:posOffset>76201</wp:posOffset>
                </wp:positionH>
                <wp:positionV relativeFrom="paragraph">
                  <wp:posOffset>-323850</wp:posOffset>
                </wp:positionV>
                <wp:extent cx="5703570" cy="953770"/>
                <wp:effectExtent l="38100" t="38100" r="106680" b="1130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95377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5476418" w14:textId="77777777" w:rsidR="00B52714" w:rsidRPr="001F3A69" w:rsidRDefault="008D77F0" w:rsidP="00FC11DA">
                            <w:pPr>
                              <w:jc w:val="both"/>
                              <w:rPr>
                                <w:i/>
                                <w:color w:val="4F81BD" w:themeColor="accent1"/>
                                <w:sz w:val="18"/>
                                <w:szCs w:val="20"/>
                              </w:rPr>
                            </w:pPr>
                            <w:r w:rsidRPr="00F54EAD">
                              <w:rPr>
                                <w:b/>
                                <w:i/>
                                <w:sz w:val="20"/>
                              </w:rPr>
                              <w:t>Box 1</w:t>
                            </w:r>
                            <w:r w:rsidR="00D016C7">
                              <w:rPr>
                                <w:b/>
                                <w:i/>
                                <w:sz w:val="20"/>
                              </w:rPr>
                              <w:t xml:space="preserve"> (CDC</w:t>
                            </w:r>
                            <w:r w:rsidR="00D016C7">
                              <w:rPr>
                                <w:b/>
                                <w:i/>
                                <w:sz w:val="20"/>
                                <w:vertAlign w:val="superscript"/>
                              </w:rPr>
                              <w:t>1</w:t>
                            </w:r>
                            <w:r w:rsidR="00D016C7">
                              <w:rPr>
                                <w:b/>
                                <w:i/>
                                <w:sz w:val="20"/>
                              </w:rPr>
                              <w:t>)</w:t>
                            </w:r>
                            <w:r w:rsidR="00EC78B6" w:rsidRPr="00F54EAD">
                              <w:rPr>
                                <w:b/>
                                <w:i/>
                                <w:sz w:val="20"/>
                              </w:rPr>
                              <w:t>:</w:t>
                            </w:r>
                            <w:r w:rsidR="00EC78B6">
                              <w:rPr>
                                <w:i/>
                                <w:sz w:val="20"/>
                              </w:rPr>
                              <w:t xml:space="preserve"> </w:t>
                            </w:r>
                            <w:r w:rsidR="00B52714" w:rsidRPr="001F3A69">
                              <w:rPr>
                                <w:i/>
                                <w:sz w:val="20"/>
                              </w:rPr>
                              <w:t>“Ultrasound probes used during surgical procedures can contact sterile body sites. These probes can be covered with a sterile sheath to reduce the level of contamination on the probe and reduce the risk for infection. However, because the sheath does not completely protect the probe, the probes should be sterilized between each patient use as with other critical items. If this is not possible, at a minimum the probe should be high-level disinfected and covered with a sterile probe cover.”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194AF1" id="_x0000_t202" coordsize="21600,21600" o:spt="202" path="m,l,21600r21600,l21600,xe">
                <v:stroke joinstyle="miter"/>
                <v:path gradientshapeok="t" o:connecttype="rect"/>
              </v:shapetype>
              <v:shape id="Text Box 2" o:spid="_x0000_s1027" type="#_x0000_t202" style="position:absolute;margin-left:6pt;margin-top:-25.5pt;width:449.1pt;height:7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" fillcolor="#dbe5f1 [660]">
                <v:shadow on="t" color="black" opacity="26214f" origin="-.5,-.5" offset=".74836mm,.74836mm"/>
                <v:textbox>
                  <w:txbxContent>
                    <w:p w14:paraId="35476418" w14:textId="77777777" w:rsidR="00B52714" w:rsidRPr="001F3A69" w:rsidRDefault="008D77F0" w:rsidP="00FC11DA">
                      <w:pPr>
                        <w:jc w:val="both"/>
                        <w:rPr>
                          <w:i/>
                          <w:color w:val="4F81BD" w:themeColor="accent1"/>
                          <w:sz w:val="18"/>
                          <w:szCs w:val="20"/>
                        </w:rPr>
                      </w:pPr>
                      <w:r w:rsidRPr="00F54EAD">
                        <w:rPr>
                          <w:b/>
                          <w:i/>
                          <w:sz w:val="20"/>
                        </w:rPr>
                        <w:t>Box 1</w:t>
                      </w:r>
                      <w:r w:rsidR="00D016C7">
                        <w:rPr>
                          <w:b/>
                          <w:i/>
                          <w:sz w:val="20"/>
                        </w:rPr>
                        <w:t xml:space="preserve"> (CDC</w:t>
                      </w:r>
                      <w:r w:rsidR="00D016C7">
                        <w:rPr>
                          <w:b/>
                          <w:i/>
                          <w:sz w:val="20"/>
                          <w:vertAlign w:val="superscript"/>
                        </w:rPr>
                        <w:t>1</w:t>
                      </w:r>
                      <w:r w:rsidR="00D016C7">
                        <w:rPr>
                          <w:b/>
                          <w:i/>
                          <w:sz w:val="20"/>
                        </w:rPr>
                        <w:t>)</w:t>
                      </w:r>
                      <w:r w:rsidR="00EC78B6" w:rsidRPr="00F54EAD">
                        <w:rPr>
                          <w:b/>
                          <w:i/>
                          <w:sz w:val="20"/>
                        </w:rPr>
                        <w:t>:</w:t>
                      </w:r>
                      <w:r w:rsidR="00EC78B6">
                        <w:rPr>
                          <w:i/>
                          <w:sz w:val="20"/>
                        </w:rPr>
                        <w:t xml:space="preserve"> </w:t>
                      </w:r>
                      <w:r w:rsidR="00B52714" w:rsidRPr="001F3A69">
                        <w:rPr>
                          <w:i/>
                          <w:sz w:val="20"/>
                        </w:rPr>
                        <w:t>“Ultrasound probes used during surgical procedures can contact sterile body sites. These probes can be covered with a sterile sheath to reduce the level of contamination on the probe and reduce the risk for infection. However, because the sheath does not completely protect the probe, the probes should be sterilized between each patient use as with other critical items. If this is not possible, at a minimum the probe should be high-level disinfected and covered with a sterile probe cover.”</w:t>
                      </w:r>
                    </w:p>
                  </w:txbxContent>
                </v:textbox>
                <w10:wrap anchorx="margin"/>
              </v:shape>
            </w:pict>
          </mc:Fallback>
        </mc:AlternateContent>
      </w:r>
    </w:p>
    <w:p w14:paraId="6047A57F" w14:textId="77777777" w:rsidR="00FC11DA" w:rsidRPr="00643760" w:rsidRDefault="00FC11DA" w:rsidP="00FC11DA">
      <w:pPr>
        <w:rPr>
          <w:rFonts w:ascii="Century Gothic" w:hAnsi="Century Gothic"/>
          <w:sz w:val="24"/>
          <w:vertAlign w:val="superscript"/>
        </w:rPr>
      </w:pPr>
    </w:p>
    <w:p w14:paraId="37A4D4B3" w14:textId="77777777" w:rsidR="00872136" w:rsidRPr="00643760" w:rsidRDefault="00872136" w:rsidP="00FC11DA">
      <w:pPr>
        <w:rPr>
          <w:rFonts w:ascii="Century Gothic" w:hAnsi="Century Gothic"/>
          <w:sz w:val="24"/>
          <w:highlight w:val="yellow"/>
        </w:rPr>
      </w:pPr>
      <w:r w:rsidRPr="00643760">
        <w:rPr>
          <w:rFonts w:ascii="Century Gothic" w:hAnsi="Century Gothic"/>
          <w:noProof/>
          <w:sz w:val="24"/>
          <w:highlight w:val="yellow"/>
          <w:lang w:val="en-AU" w:eastAsia="en-AU"/>
        </w:rPr>
        <mc:AlternateContent>
          <mc:Choice Requires="wps">
            <w:drawing>
              <wp:anchor distT="0" distB="0" distL="114300" distR="114300" simplePos="0" relativeHeight="251657216" behindDoc="0" locked="0" layoutInCell="1" allowOverlap="1" wp14:anchorId="7744459A" wp14:editId="112F0AB3">
                <wp:simplePos x="0" y="0"/>
                <wp:positionH relativeFrom="margin">
                  <wp:posOffset>84777</wp:posOffset>
                </wp:positionH>
                <wp:positionV relativeFrom="paragraph">
                  <wp:posOffset>67538</wp:posOffset>
                </wp:positionV>
                <wp:extent cx="5684520" cy="798394"/>
                <wp:effectExtent l="38100" t="38100" r="106680" b="1162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798394"/>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260D70" w14:textId="198F6B4F" w:rsidR="006351EB" w:rsidRPr="001F3A69" w:rsidRDefault="0071244F" w:rsidP="006351EB">
                            <w:pPr>
                              <w:jc w:val="both"/>
                              <w:rPr>
                                <w:i/>
                                <w:sz w:val="20"/>
                              </w:rPr>
                            </w:pPr>
                            <w:r w:rsidRPr="009B4425">
                              <w:rPr>
                                <w:b/>
                                <w:i/>
                                <w:sz w:val="20"/>
                              </w:rPr>
                              <w:t xml:space="preserve">Box </w:t>
                            </w:r>
                            <w:r w:rsidR="00EC78B6" w:rsidRPr="00F54EAD">
                              <w:rPr>
                                <w:b/>
                                <w:i/>
                                <w:sz w:val="20"/>
                              </w:rPr>
                              <w:t>2</w:t>
                            </w:r>
                            <w:r w:rsidR="00D016C7">
                              <w:rPr>
                                <w:b/>
                                <w:i/>
                                <w:sz w:val="20"/>
                              </w:rPr>
                              <w:t xml:space="preserve"> (FDA</w:t>
                            </w:r>
                            <w:r w:rsidR="00D016C7">
                              <w:rPr>
                                <w:b/>
                                <w:i/>
                                <w:sz w:val="20"/>
                                <w:vertAlign w:val="superscript"/>
                              </w:rPr>
                              <w:t>3</w:t>
                            </w:r>
                            <w:r w:rsidR="00D016C7">
                              <w:rPr>
                                <w:b/>
                                <w:i/>
                                <w:sz w:val="20"/>
                              </w:rPr>
                              <w:t>)</w:t>
                            </w:r>
                            <w:r w:rsidR="00EC78B6" w:rsidRPr="00F54EAD">
                              <w:rPr>
                                <w:b/>
                                <w:i/>
                                <w:sz w:val="20"/>
                              </w:rPr>
                              <w:t>:</w:t>
                            </w:r>
                            <w:r>
                              <w:rPr>
                                <w:i/>
                                <w:sz w:val="20"/>
                                <w:vertAlign w:val="superscript"/>
                              </w:rPr>
                              <w:t xml:space="preserve"> </w:t>
                            </w:r>
                            <w:r w:rsidR="006351EB" w:rsidRPr="001F3A69">
                              <w:rPr>
                                <w:i/>
                                <w:sz w:val="20"/>
                              </w:rPr>
                              <w:t>“</w:t>
                            </w:r>
                            <w:r w:rsidR="00340E4F" w:rsidRPr="00340E4F">
                              <w:rPr>
                                <w:i/>
                                <w:sz w:val="20"/>
                              </w:rPr>
                              <w:t>For clinical applications of a semi-critical or critical nature (e.g., intraoperative, transrectal, transvaginal, transesophageal, or biopsy procedures), labeling should recommend, when appropriate, the use of sterile, legally</w:t>
                            </w:r>
                            <w:r w:rsidR="006A4246">
                              <w:rPr>
                                <w:i/>
                                <w:sz w:val="20"/>
                              </w:rPr>
                              <w:t>-</w:t>
                            </w:r>
                            <w:r w:rsidR="00340E4F" w:rsidRPr="00340E4F">
                              <w:rPr>
                                <w:i/>
                                <w:sz w:val="20"/>
                              </w:rPr>
                              <w:t>marketed probe sheaths.  Note that the use of sheaths does not change the type of reprocessing that is recommended after each use.</w:t>
                            </w:r>
                            <w:r>
                              <w:rPr>
                                <w:i/>
                                <w:sz w:val="20"/>
                                <w:vertAlign w:val="superscript"/>
                              </w:rPr>
                              <w:t>3</w:t>
                            </w:r>
                            <w:r w:rsidR="006351EB" w:rsidRPr="001F3A69">
                              <w:rPr>
                                <w:i/>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4459A" id="_x0000_s1028" type="#_x0000_t202" style="position:absolute;margin-left:6.7pt;margin-top:5.3pt;width:447.6pt;height:6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" fillcolor="#dbe5f1 [660]">
                <v:shadow on="t" color="black" opacity="26214f" origin="-.5,-.5" offset=".74836mm,.74836mm"/>
                <v:textbox>
                  <w:txbxContent>
                    <w:p w14:paraId="04260D70" w14:textId="198F6B4F" w:rsidR="006351EB" w:rsidRPr="001F3A69" w:rsidRDefault="0071244F" w:rsidP="006351EB">
                      <w:pPr>
                        <w:jc w:val="both"/>
                        <w:rPr>
                          <w:i/>
                          <w:sz w:val="20"/>
                        </w:rPr>
                      </w:pPr>
                      <w:r w:rsidRPr="009B4425">
                        <w:rPr>
                          <w:b/>
                          <w:i/>
                          <w:sz w:val="20"/>
                        </w:rPr>
                        <w:t xml:space="preserve">Box </w:t>
                      </w:r>
                      <w:r w:rsidR="00EC78B6" w:rsidRPr="00F54EAD">
                        <w:rPr>
                          <w:b/>
                          <w:i/>
                          <w:sz w:val="20"/>
                        </w:rPr>
                        <w:t>2</w:t>
                      </w:r>
                      <w:r w:rsidR="00D016C7">
                        <w:rPr>
                          <w:b/>
                          <w:i/>
                          <w:sz w:val="20"/>
                        </w:rPr>
                        <w:t xml:space="preserve"> (FDA</w:t>
                      </w:r>
                      <w:r w:rsidR="00D016C7">
                        <w:rPr>
                          <w:b/>
                          <w:i/>
                          <w:sz w:val="20"/>
                          <w:vertAlign w:val="superscript"/>
                        </w:rPr>
                        <w:t>3</w:t>
                      </w:r>
                      <w:r w:rsidR="00D016C7">
                        <w:rPr>
                          <w:b/>
                          <w:i/>
                          <w:sz w:val="20"/>
                        </w:rPr>
                        <w:t>)</w:t>
                      </w:r>
                      <w:r w:rsidR="00EC78B6" w:rsidRPr="00F54EAD">
                        <w:rPr>
                          <w:b/>
                          <w:i/>
                          <w:sz w:val="20"/>
                        </w:rPr>
                        <w:t>:</w:t>
                      </w:r>
                      <w:r>
                        <w:rPr>
                          <w:i/>
                          <w:sz w:val="20"/>
                          <w:vertAlign w:val="superscript"/>
                        </w:rPr>
                        <w:t xml:space="preserve"> </w:t>
                      </w:r>
                      <w:r w:rsidR="006351EB" w:rsidRPr="001F3A69">
                        <w:rPr>
                          <w:i/>
                          <w:sz w:val="20"/>
                        </w:rPr>
                        <w:t>“</w:t>
                      </w:r>
                      <w:r w:rsidR="00340E4F" w:rsidRPr="00340E4F">
                        <w:rPr>
                          <w:i/>
                          <w:sz w:val="20"/>
                        </w:rPr>
                        <w:t>For clinical applications of a semi-critical or critical nature (e.g., intraoperative, transrectal, transvaginal, transesophageal, or biopsy procedures), labeling should recommend, when appropriate, the use of sterile, legally</w:t>
                      </w:r>
                      <w:r w:rsidR="006A4246">
                        <w:rPr>
                          <w:i/>
                          <w:sz w:val="20"/>
                        </w:rPr>
                        <w:t>-</w:t>
                      </w:r>
                      <w:r w:rsidR="00340E4F" w:rsidRPr="00340E4F">
                        <w:rPr>
                          <w:i/>
                          <w:sz w:val="20"/>
                        </w:rPr>
                        <w:t>marketed probe sheaths.  Note that the use of sheaths does not change the type of reprocessing that is recommended after each use.</w:t>
                      </w:r>
                      <w:r>
                        <w:rPr>
                          <w:i/>
                          <w:sz w:val="20"/>
                          <w:vertAlign w:val="superscript"/>
                        </w:rPr>
                        <w:t>3</w:t>
                      </w:r>
                      <w:r w:rsidR="006351EB" w:rsidRPr="001F3A69">
                        <w:rPr>
                          <w:i/>
                          <w:sz w:val="20"/>
                        </w:rPr>
                        <w:t xml:space="preserve">” </w:t>
                      </w:r>
                    </w:p>
                  </w:txbxContent>
                </v:textbox>
                <w10:wrap anchorx="margin"/>
              </v:shape>
            </w:pict>
          </mc:Fallback>
        </mc:AlternateContent>
      </w:r>
      <w:r w:rsidR="00FC11DA" w:rsidRPr="00643760">
        <w:rPr>
          <w:rFonts w:ascii="Century Gothic" w:hAnsi="Century Gothic"/>
          <w:sz w:val="24"/>
          <w:highlight w:val="yellow"/>
        </w:rPr>
        <w:t xml:space="preserve"> </w:t>
      </w:r>
    </w:p>
    <w:p w14:paraId="4980AF84" w14:textId="77777777" w:rsidR="00872136" w:rsidRPr="00643760" w:rsidRDefault="00872136" w:rsidP="00FC11DA">
      <w:pPr>
        <w:rPr>
          <w:rFonts w:ascii="Century Gothic" w:hAnsi="Century Gothic"/>
          <w:sz w:val="24"/>
          <w:highlight w:val="yellow"/>
        </w:rPr>
      </w:pPr>
    </w:p>
    <w:p w14:paraId="68DA48A5" w14:textId="77777777" w:rsidR="00872136" w:rsidRPr="00643760" w:rsidRDefault="00872136" w:rsidP="00FC11DA">
      <w:pPr>
        <w:rPr>
          <w:rFonts w:ascii="Century Gothic" w:hAnsi="Century Gothic"/>
          <w:sz w:val="24"/>
          <w:highlight w:val="yellow"/>
        </w:rPr>
      </w:pPr>
    </w:p>
    <w:p w14:paraId="1921DF26" w14:textId="77777777" w:rsidR="00D016C7" w:rsidRPr="00643760" w:rsidRDefault="00D016C7" w:rsidP="00FC11DA">
      <w:pPr>
        <w:rPr>
          <w:rFonts w:ascii="Century Gothic" w:hAnsi="Century Gothic"/>
          <w:sz w:val="4"/>
          <w:szCs w:val="4"/>
        </w:rPr>
      </w:pPr>
    </w:p>
    <w:p w14:paraId="437A7C49" w14:textId="30B068F8" w:rsidR="00FC11DA" w:rsidRPr="00643760" w:rsidRDefault="00405C21" w:rsidP="00FC11DA">
      <w:pPr>
        <w:rPr>
          <w:rFonts w:ascii="Century Gothic" w:hAnsi="Century Gothic"/>
          <w:sz w:val="24"/>
          <w:vertAlign w:val="superscript"/>
        </w:rPr>
      </w:pPr>
      <w:r w:rsidRPr="00643760">
        <w:rPr>
          <w:rFonts w:ascii="Century Gothic" w:hAnsi="Century Gothic"/>
          <w:noProof/>
          <w:sz w:val="24"/>
          <w:highlight w:val="yellow"/>
          <w:lang w:val="en-AU" w:eastAsia="en-AU"/>
        </w:rPr>
        <mc:AlternateContent>
          <mc:Choice Requires="wps">
            <w:drawing>
              <wp:anchor distT="0" distB="0" distL="114300" distR="114300" simplePos="0" relativeHeight="251652096" behindDoc="0" locked="0" layoutInCell="1" allowOverlap="1" wp14:anchorId="54BA4247" wp14:editId="088D820D">
                <wp:simplePos x="0" y="0"/>
                <wp:positionH relativeFrom="margin">
                  <wp:posOffset>81442</wp:posOffset>
                </wp:positionH>
                <wp:positionV relativeFrom="paragraph">
                  <wp:posOffset>489083</wp:posOffset>
                </wp:positionV>
                <wp:extent cx="5684520" cy="431800"/>
                <wp:effectExtent l="38100" t="38100" r="106680" b="1206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43180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40BC283" w14:textId="77777777" w:rsidR="00B52714" w:rsidRPr="001F3A69" w:rsidRDefault="00EC78B6" w:rsidP="00FC11DA">
                            <w:pPr>
                              <w:jc w:val="both"/>
                              <w:rPr>
                                <w:i/>
                                <w:sz w:val="20"/>
                              </w:rPr>
                            </w:pPr>
                            <w:r w:rsidRPr="00F54EAD">
                              <w:rPr>
                                <w:b/>
                                <w:i/>
                                <w:sz w:val="20"/>
                              </w:rPr>
                              <w:t>Box 3</w:t>
                            </w:r>
                            <w:r w:rsidR="00D016C7">
                              <w:rPr>
                                <w:b/>
                                <w:i/>
                                <w:sz w:val="20"/>
                              </w:rPr>
                              <w:t xml:space="preserve"> (CDC</w:t>
                            </w:r>
                            <w:r w:rsidR="00D016C7">
                              <w:rPr>
                                <w:b/>
                                <w:i/>
                                <w:sz w:val="20"/>
                                <w:vertAlign w:val="superscript"/>
                              </w:rPr>
                              <w:t>1</w:t>
                            </w:r>
                            <w:r w:rsidR="00D016C7">
                              <w:rPr>
                                <w:b/>
                                <w:i/>
                                <w:sz w:val="20"/>
                              </w:rPr>
                              <w:t>)</w:t>
                            </w:r>
                            <w:r w:rsidRPr="00F54EAD">
                              <w:rPr>
                                <w:b/>
                                <w:i/>
                                <w:sz w:val="20"/>
                              </w:rPr>
                              <w:t>:</w:t>
                            </w:r>
                            <w:r>
                              <w:rPr>
                                <w:i/>
                                <w:sz w:val="20"/>
                              </w:rPr>
                              <w:t xml:space="preserve"> </w:t>
                            </w:r>
                            <w:r w:rsidR="00B52714" w:rsidRPr="001F3A69">
                              <w:rPr>
                                <w:i/>
                                <w:sz w:val="20"/>
                              </w:rPr>
                              <w:t xml:space="preserve">“Do not use a lower category of disinfection or cease to follow the appropriate disinfectant recommendations when using probe covers because these sheaths and condoms can fail.”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A4247" id="_x0000_s1029" type="#_x0000_t202" style="position:absolute;margin-left:6.4pt;margin-top:38.5pt;width:447.6pt;height:3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" fillcolor="#dbe5f1 [660]">
                <v:shadow on="t" color="black" opacity="26214f" origin="-.5,-.5" offset=".74836mm,.74836mm"/>
                <v:textbox>
                  <w:txbxContent>
                    <w:p w14:paraId="640BC283" w14:textId="77777777" w:rsidR="00B52714" w:rsidRPr="001F3A69" w:rsidRDefault="00EC78B6" w:rsidP="00FC11DA">
                      <w:pPr>
                        <w:jc w:val="both"/>
                        <w:rPr>
                          <w:i/>
                          <w:sz w:val="20"/>
                        </w:rPr>
                      </w:pPr>
                      <w:r w:rsidRPr="00F54EAD">
                        <w:rPr>
                          <w:b/>
                          <w:i/>
                          <w:sz w:val="20"/>
                        </w:rPr>
                        <w:t>Box 3</w:t>
                      </w:r>
                      <w:r w:rsidR="00D016C7">
                        <w:rPr>
                          <w:b/>
                          <w:i/>
                          <w:sz w:val="20"/>
                        </w:rPr>
                        <w:t xml:space="preserve"> (CDC</w:t>
                      </w:r>
                      <w:r w:rsidR="00D016C7">
                        <w:rPr>
                          <w:b/>
                          <w:i/>
                          <w:sz w:val="20"/>
                          <w:vertAlign w:val="superscript"/>
                        </w:rPr>
                        <w:t>1</w:t>
                      </w:r>
                      <w:r w:rsidR="00D016C7">
                        <w:rPr>
                          <w:b/>
                          <w:i/>
                          <w:sz w:val="20"/>
                        </w:rPr>
                        <w:t>)</w:t>
                      </w:r>
                      <w:r w:rsidRPr="00F54EAD">
                        <w:rPr>
                          <w:b/>
                          <w:i/>
                          <w:sz w:val="20"/>
                        </w:rPr>
                        <w:t>:</w:t>
                      </w:r>
                      <w:r>
                        <w:rPr>
                          <w:i/>
                          <w:sz w:val="20"/>
                        </w:rPr>
                        <w:t xml:space="preserve"> </w:t>
                      </w:r>
                      <w:r w:rsidR="00B52714" w:rsidRPr="001F3A69">
                        <w:rPr>
                          <w:i/>
                          <w:sz w:val="20"/>
                        </w:rPr>
                        <w:t xml:space="preserve">“Do not use a lower category of disinfection or cease to follow the appropriate disinfectant recommendations when using probe covers because these sheaths and condoms can fail.” </w:t>
                      </w:r>
                    </w:p>
                  </w:txbxContent>
                </v:textbox>
                <w10:wrap anchorx="margin"/>
              </v:shape>
            </w:pict>
          </mc:Fallback>
        </mc:AlternateContent>
      </w:r>
      <w:r w:rsidR="00FC11DA" w:rsidRPr="00643760">
        <w:rPr>
          <w:rFonts w:ascii="Century Gothic" w:hAnsi="Century Gothic"/>
          <w:sz w:val="24"/>
        </w:rPr>
        <w:t>Furthermore, the CDC</w:t>
      </w:r>
      <w:r w:rsidR="00B847DA" w:rsidRPr="00643760">
        <w:rPr>
          <w:rFonts w:ascii="Century Gothic" w:hAnsi="Century Gothic"/>
          <w:sz w:val="24"/>
        </w:rPr>
        <w:t xml:space="preserve"> and FDA</w:t>
      </w:r>
      <w:r w:rsidR="00FC11DA" w:rsidRPr="00643760">
        <w:rPr>
          <w:rFonts w:ascii="Century Gothic" w:hAnsi="Century Gothic"/>
          <w:sz w:val="24"/>
        </w:rPr>
        <w:t xml:space="preserve"> instruct that the use of probe covers does not negate the need for high</w:t>
      </w:r>
      <w:r w:rsidR="006A4246">
        <w:rPr>
          <w:rFonts w:ascii="Century Gothic" w:hAnsi="Century Gothic"/>
          <w:sz w:val="24"/>
        </w:rPr>
        <w:t>-</w:t>
      </w:r>
      <w:r w:rsidR="00FC11DA" w:rsidRPr="00643760">
        <w:rPr>
          <w:rFonts w:ascii="Century Gothic" w:hAnsi="Century Gothic"/>
          <w:sz w:val="24"/>
        </w:rPr>
        <w:t>level disinfection</w:t>
      </w:r>
      <w:r w:rsidR="00D016C7" w:rsidRPr="00643760">
        <w:rPr>
          <w:rFonts w:ascii="Century Gothic" w:hAnsi="Century Gothic"/>
          <w:sz w:val="24"/>
        </w:rPr>
        <w:t xml:space="preserve"> or sterilization</w:t>
      </w:r>
      <w:r w:rsidR="00EC78B6" w:rsidRPr="00643760">
        <w:rPr>
          <w:rFonts w:ascii="Century Gothic" w:hAnsi="Century Gothic"/>
          <w:sz w:val="24"/>
        </w:rPr>
        <w:t xml:space="preserve"> </w:t>
      </w:r>
      <w:r w:rsidR="00BF7BD4" w:rsidRPr="00643760">
        <w:rPr>
          <w:rFonts w:ascii="Century Gothic" w:hAnsi="Century Gothic"/>
          <w:sz w:val="24"/>
        </w:rPr>
        <w:t>(Box 3 and 4):</w:t>
      </w:r>
      <w:r w:rsidR="00FC11DA" w:rsidRPr="00643760">
        <w:rPr>
          <w:rFonts w:ascii="Century Gothic" w:hAnsi="Century Gothic"/>
          <w:sz w:val="24"/>
          <w:vertAlign w:val="superscript"/>
        </w:rPr>
        <w:t>1</w:t>
      </w:r>
      <w:r w:rsidR="00B847DA" w:rsidRPr="00643760">
        <w:rPr>
          <w:rFonts w:ascii="Century Gothic" w:hAnsi="Century Gothic"/>
          <w:sz w:val="24"/>
          <w:vertAlign w:val="superscript"/>
        </w:rPr>
        <w:t>,3</w:t>
      </w:r>
    </w:p>
    <w:p w14:paraId="4CFEE14C" w14:textId="77777777" w:rsidR="00FC11DA" w:rsidRPr="00643760" w:rsidRDefault="00FC11DA" w:rsidP="00FC11DA">
      <w:pPr>
        <w:rPr>
          <w:rFonts w:ascii="Century Gothic" w:hAnsi="Century Gothic"/>
          <w:sz w:val="24"/>
        </w:rPr>
      </w:pPr>
    </w:p>
    <w:p w14:paraId="69160636" w14:textId="77777777" w:rsidR="00FC11DA" w:rsidRPr="00643760" w:rsidRDefault="009B4425" w:rsidP="00FC11DA">
      <w:pPr>
        <w:rPr>
          <w:rFonts w:ascii="Century Gothic" w:hAnsi="Century Gothic"/>
          <w:sz w:val="28"/>
        </w:rPr>
      </w:pPr>
      <w:r w:rsidRPr="00643760">
        <w:rPr>
          <w:rFonts w:ascii="Century Gothic" w:hAnsi="Century Gothic"/>
          <w:noProof/>
          <w:sz w:val="24"/>
          <w:highlight w:val="yellow"/>
          <w:lang w:val="en-AU" w:eastAsia="en-AU"/>
        </w:rPr>
        <mc:AlternateContent>
          <mc:Choice Requires="wps">
            <w:drawing>
              <wp:anchor distT="0" distB="0" distL="114300" distR="114300" simplePos="0" relativeHeight="251664384" behindDoc="0" locked="0" layoutInCell="1" allowOverlap="1" wp14:anchorId="37C2E18C" wp14:editId="4A5393DF">
                <wp:simplePos x="0" y="0"/>
                <wp:positionH relativeFrom="margin">
                  <wp:posOffset>70011</wp:posOffset>
                </wp:positionH>
                <wp:positionV relativeFrom="paragraph">
                  <wp:posOffset>193704</wp:posOffset>
                </wp:positionV>
                <wp:extent cx="5703570" cy="805218"/>
                <wp:effectExtent l="38100" t="38100" r="106680" b="1092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805218"/>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2DD8068" w14:textId="2E147816" w:rsidR="006351EB" w:rsidRPr="001F3A69" w:rsidRDefault="008D77F0" w:rsidP="006351EB">
                            <w:pPr>
                              <w:jc w:val="both"/>
                              <w:rPr>
                                <w:i/>
                                <w:color w:val="4F81BD" w:themeColor="accent1"/>
                                <w:sz w:val="18"/>
                                <w:szCs w:val="20"/>
                              </w:rPr>
                            </w:pPr>
                            <w:r w:rsidRPr="00F54EAD">
                              <w:rPr>
                                <w:b/>
                                <w:i/>
                                <w:sz w:val="20"/>
                              </w:rPr>
                              <w:t xml:space="preserve">Box </w:t>
                            </w:r>
                            <w:r>
                              <w:rPr>
                                <w:b/>
                                <w:i/>
                                <w:sz w:val="20"/>
                              </w:rPr>
                              <w:t>4</w:t>
                            </w:r>
                            <w:r w:rsidR="00D016C7">
                              <w:rPr>
                                <w:b/>
                                <w:i/>
                                <w:sz w:val="20"/>
                              </w:rPr>
                              <w:t xml:space="preserve"> (FDA</w:t>
                            </w:r>
                            <w:r w:rsidR="00D016C7">
                              <w:rPr>
                                <w:b/>
                                <w:i/>
                                <w:sz w:val="20"/>
                                <w:vertAlign w:val="superscript"/>
                              </w:rPr>
                              <w:t>3</w:t>
                            </w:r>
                            <w:r w:rsidR="00D016C7">
                              <w:rPr>
                                <w:b/>
                                <w:i/>
                                <w:sz w:val="20"/>
                              </w:rPr>
                              <w:t>)</w:t>
                            </w:r>
                            <w:r w:rsidR="00EC78B6" w:rsidRPr="00F54EAD">
                              <w:rPr>
                                <w:b/>
                                <w:i/>
                                <w:sz w:val="20"/>
                              </w:rPr>
                              <w:t>:</w:t>
                            </w:r>
                            <w:r w:rsidR="00EC78B6">
                              <w:rPr>
                                <w:i/>
                                <w:sz w:val="20"/>
                              </w:rPr>
                              <w:t xml:space="preserve"> </w:t>
                            </w:r>
                            <w:r w:rsidR="006351EB" w:rsidRPr="001F3A69">
                              <w:rPr>
                                <w:i/>
                                <w:sz w:val="20"/>
                              </w:rPr>
                              <w:t>“</w:t>
                            </w:r>
                            <w:r w:rsidR="006351EB" w:rsidRPr="006351EB">
                              <w:rPr>
                                <w:i/>
                                <w:sz w:val="20"/>
                              </w:rPr>
                              <w:t>The probe used in a semi-critical application should be cleaned and sterilized or at least receive high</w:t>
                            </w:r>
                            <w:r w:rsidR="006A4246">
                              <w:rPr>
                                <w:i/>
                                <w:sz w:val="20"/>
                              </w:rPr>
                              <w:t>-</w:t>
                            </w:r>
                            <w:r w:rsidR="006351EB" w:rsidRPr="006351EB">
                              <w:rPr>
                                <w:i/>
                                <w:sz w:val="20"/>
                              </w:rPr>
                              <w:t>level disinfection after use even if a sheath was used.  Probes used for critical applications should be cleaned and sterilized after use even if a sterile sheath was used.  Sheaths can fail during use and the level of resulting contamination may not be easily visible.</w:t>
                            </w:r>
                            <w:r w:rsidR="006351EB">
                              <w:rPr>
                                <w:i/>
                                <w:sz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C2E18C" id="_x0000_s1030" type="#_x0000_t202" style="position:absolute;margin-left:5.5pt;margin-top:15.25pt;width:449.1pt;height:6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" fillcolor="#dbe5f1 [660]">
                <v:shadow on="t" color="black" opacity="26214f" origin="-.5,-.5" offset=".74836mm,.74836mm"/>
                <v:textbox>
                  <w:txbxContent>
                    <w:p w14:paraId="42DD8068" w14:textId="2E147816" w:rsidR="006351EB" w:rsidRPr="001F3A69" w:rsidRDefault="008D77F0" w:rsidP="006351EB">
                      <w:pPr>
                        <w:jc w:val="both"/>
                        <w:rPr>
                          <w:i/>
                          <w:color w:val="4F81BD" w:themeColor="accent1"/>
                          <w:sz w:val="18"/>
                          <w:szCs w:val="20"/>
                        </w:rPr>
                      </w:pPr>
                      <w:r w:rsidRPr="00F54EAD">
                        <w:rPr>
                          <w:b/>
                          <w:i/>
                          <w:sz w:val="20"/>
                        </w:rPr>
                        <w:t xml:space="preserve">Box </w:t>
                      </w:r>
                      <w:r>
                        <w:rPr>
                          <w:b/>
                          <w:i/>
                          <w:sz w:val="20"/>
                        </w:rPr>
                        <w:t>4</w:t>
                      </w:r>
                      <w:r w:rsidR="00D016C7">
                        <w:rPr>
                          <w:b/>
                          <w:i/>
                          <w:sz w:val="20"/>
                        </w:rPr>
                        <w:t xml:space="preserve"> (FDA</w:t>
                      </w:r>
                      <w:r w:rsidR="00D016C7">
                        <w:rPr>
                          <w:b/>
                          <w:i/>
                          <w:sz w:val="20"/>
                          <w:vertAlign w:val="superscript"/>
                        </w:rPr>
                        <w:t>3</w:t>
                      </w:r>
                      <w:r w:rsidR="00D016C7">
                        <w:rPr>
                          <w:b/>
                          <w:i/>
                          <w:sz w:val="20"/>
                        </w:rPr>
                        <w:t>)</w:t>
                      </w:r>
                      <w:r w:rsidR="00EC78B6" w:rsidRPr="00F54EAD">
                        <w:rPr>
                          <w:b/>
                          <w:i/>
                          <w:sz w:val="20"/>
                        </w:rPr>
                        <w:t>:</w:t>
                      </w:r>
                      <w:r w:rsidR="00EC78B6">
                        <w:rPr>
                          <w:i/>
                          <w:sz w:val="20"/>
                        </w:rPr>
                        <w:t xml:space="preserve"> </w:t>
                      </w:r>
                      <w:r w:rsidR="006351EB" w:rsidRPr="001F3A69">
                        <w:rPr>
                          <w:i/>
                          <w:sz w:val="20"/>
                        </w:rPr>
                        <w:t>“</w:t>
                      </w:r>
                      <w:r w:rsidR="006351EB" w:rsidRPr="006351EB">
                        <w:rPr>
                          <w:i/>
                          <w:sz w:val="20"/>
                        </w:rPr>
                        <w:t>The probe used in a semi-critical application should be cleaned and sterilized or at least receive high</w:t>
                      </w:r>
                      <w:r w:rsidR="006A4246">
                        <w:rPr>
                          <w:i/>
                          <w:sz w:val="20"/>
                        </w:rPr>
                        <w:t>-</w:t>
                      </w:r>
                      <w:r w:rsidR="006351EB" w:rsidRPr="006351EB">
                        <w:rPr>
                          <w:i/>
                          <w:sz w:val="20"/>
                        </w:rPr>
                        <w:t>level disinfection after use even if a sheath was used.  Probes used for critical applications should be cleaned and sterilized after use even if a sterile sheath was used.  Sheaths can fail during use and the level of resulting contamination may not be easily visible.</w:t>
                      </w:r>
                      <w:r w:rsidR="006351EB">
                        <w:rPr>
                          <w:i/>
                          <w:sz w:val="20"/>
                        </w:rPr>
                        <w:t>”</w:t>
                      </w:r>
                    </w:p>
                  </w:txbxContent>
                </v:textbox>
                <w10:wrap anchorx="margin"/>
              </v:shape>
            </w:pict>
          </mc:Fallback>
        </mc:AlternateContent>
      </w:r>
    </w:p>
    <w:p w14:paraId="0CF92B26" w14:textId="77777777" w:rsidR="006351EB" w:rsidRPr="00643760" w:rsidRDefault="006351EB" w:rsidP="00FC11DA">
      <w:pPr>
        <w:rPr>
          <w:rFonts w:ascii="Century Gothic" w:hAnsi="Century Gothic"/>
          <w:sz w:val="28"/>
        </w:rPr>
      </w:pPr>
    </w:p>
    <w:p w14:paraId="4DF90900" w14:textId="77777777" w:rsidR="00405C21" w:rsidRPr="00643760" w:rsidRDefault="0071244F">
      <w:pPr>
        <w:rPr>
          <w:rFonts w:ascii="Century Gothic" w:hAnsi="Century Gothic"/>
          <w:sz w:val="24"/>
        </w:rPr>
      </w:pPr>
      <w:r w:rsidRPr="00643760">
        <w:rPr>
          <w:rFonts w:ascii="Century Gothic" w:hAnsi="Century Gothic"/>
          <w:sz w:val="28"/>
        </w:rPr>
        <w:br/>
      </w:r>
    </w:p>
    <w:p w14:paraId="65DB27AE" w14:textId="77777777" w:rsidR="00277F10" w:rsidRPr="00643760" w:rsidRDefault="00FC11DA">
      <w:pPr>
        <w:rPr>
          <w:rFonts w:ascii="Century Gothic" w:hAnsi="Century Gothic"/>
          <w:sz w:val="24"/>
        </w:rPr>
      </w:pPr>
      <w:r w:rsidRPr="00643760">
        <w:rPr>
          <w:rFonts w:ascii="Century Gothic" w:hAnsi="Century Gothic"/>
          <w:sz w:val="24"/>
        </w:rPr>
        <w:t xml:space="preserve">The following procedure charts are based on these recommendations and divided by department. </w:t>
      </w:r>
      <w:r w:rsidR="00AB6852" w:rsidRPr="00643760">
        <w:rPr>
          <w:rFonts w:ascii="Century Gothic" w:hAnsi="Century Gothic"/>
          <w:sz w:val="24"/>
        </w:rPr>
        <w:t xml:space="preserve">Typical procedures have been provided as examples based on interpretation of the Spaulding classification. Some procedures may fall into other Spaulding classification categories depending on the specific clinical situation and which tissues may be contacted. </w:t>
      </w:r>
      <w:r w:rsidRPr="00643760">
        <w:rPr>
          <w:rFonts w:ascii="Century Gothic" w:hAnsi="Century Gothic"/>
          <w:sz w:val="24"/>
        </w:rPr>
        <w:t xml:space="preserve">Print these charts and place them in treatment rooms to guide best practice ultrasound reprocessing and use for patient safety. Any deviation from best practice recommendations needs to be supported with clinical evidence and thorough risk profiling with a multidisciplinary assessment team and this process needs to be documented and reviewed according to hospital policy and procedure. </w:t>
      </w:r>
    </w:p>
    <w:p w14:paraId="15B846C0" w14:textId="77777777" w:rsidR="00C87959" w:rsidRDefault="00C87959">
      <w:pPr>
        <w:rPr>
          <w:rFonts w:ascii="Century Gothic" w:hAnsi="Century Gothic" w:cs="Consolas"/>
          <w:color w:val="0C539C"/>
          <w:sz w:val="20"/>
        </w:rPr>
      </w:pPr>
      <w:r>
        <w:rPr>
          <w:rFonts w:ascii="Century Gothic" w:hAnsi="Century Gothic" w:cs="Consolas"/>
          <w:color w:val="0C539C"/>
          <w:sz w:val="20"/>
        </w:rPr>
        <w:br w:type="page"/>
      </w:r>
    </w:p>
    <w:p w14:paraId="238E2085" w14:textId="22B5061D" w:rsidR="00FC11DA" w:rsidRPr="004D3685" w:rsidRDefault="00FC11DA" w:rsidP="00FC11DA">
      <w:pPr>
        <w:jc w:val="center"/>
        <w:rPr>
          <w:rFonts w:ascii="Century Gothic" w:hAnsi="Century Gothic" w:cs="Consolas"/>
          <w:color w:val="0C539C"/>
          <w:sz w:val="17"/>
          <w:szCs w:val="17"/>
        </w:rPr>
      </w:pPr>
      <w:r w:rsidRPr="004D3685">
        <w:rPr>
          <w:rFonts w:ascii="Century Gothic" w:hAnsi="Century Gothic" w:cs="Consolas"/>
          <w:color w:val="0C539C"/>
          <w:sz w:val="17"/>
          <w:szCs w:val="17"/>
        </w:rPr>
        <w:lastRenderedPageBreak/>
        <w:t>References</w:t>
      </w:r>
    </w:p>
    <w:p w14:paraId="1E824DC8" w14:textId="77777777" w:rsidR="00FC11DA" w:rsidRPr="004D3685" w:rsidRDefault="00FC11DA" w:rsidP="00C87959">
      <w:pPr>
        <w:autoSpaceDE w:val="0"/>
        <w:autoSpaceDN w:val="0"/>
        <w:adjustRightInd w:val="0"/>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1. Rutala WA, Weber DJ, Healthcare Infection Control Practices Advisory Committee (HICPAC) &amp; Centre for Disease Control and</w:t>
      </w:r>
      <w:r w:rsidR="00306A3B" w:rsidRPr="004D3685">
        <w:rPr>
          <w:rFonts w:ascii="Century Gothic" w:hAnsi="Century Gothic" w:cs="Calibri"/>
          <w:color w:val="000000"/>
          <w:sz w:val="17"/>
          <w:szCs w:val="17"/>
          <w:lang w:val="en-AU"/>
        </w:rPr>
        <w:t xml:space="preserve"> </w:t>
      </w:r>
      <w:r w:rsidRPr="004D3685">
        <w:rPr>
          <w:rFonts w:ascii="Century Gothic" w:hAnsi="Century Gothic" w:cs="Calibri"/>
          <w:color w:val="000000"/>
          <w:sz w:val="17"/>
          <w:szCs w:val="17"/>
          <w:lang w:val="en-AU"/>
        </w:rPr>
        <w:t xml:space="preserve">Prevention (CDC). Guideline for Disinfection and Sterilization in Healthcare Facilities. 2008. </w:t>
      </w:r>
      <w:r w:rsidR="009B4425" w:rsidRPr="004D3685">
        <w:rPr>
          <w:rFonts w:ascii="Century Gothic" w:hAnsi="Century Gothic" w:cs="Calibri"/>
          <w:color w:val="000000"/>
          <w:sz w:val="17"/>
          <w:szCs w:val="17"/>
          <w:lang w:val="en-AU"/>
        </w:rPr>
        <w:t>P</w:t>
      </w:r>
      <w:r w:rsidRPr="004D3685">
        <w:rPr>
          <w:rFonts w:ascii="Century Gothic" w:hAnsi="Century Gothic" w:cs="Calibri"/>
          <w:color w:val="000000"/>
          <w:sz w:val="17"/>
          <w:szCs w:val="17"/>
          <w:lang w:val="en-AU"/>
        </w:rPr>
        <w:t>age</w:t>
      </w:r>
      <w:r w:rsidR="000B378B" w:rsidRPr="004D3685">
        <w:rPr>
          <w:rFonts w:ascii="Century Gothic" w:hAnsi="Century Gothic" w:cs="Calibri"/>
          <w:color w:val="000000"/>
          <w:sz w:val="17"/>
          <w:szCs w:val="17"/>
          <w:lang w:val="en-AU"/>
        </w:rPr>
        <w:t>s</w:t>
      </w:r>
      <w:r w:rsidRPr="004D3685">
        <w:rPr>
          <w:rFonts w:ascii="Century Gothic" w:hAnsi="Century Gothic" w:cs="Calibri"/>
          <w:color w:val="000000"/>
          <w:sz w:val="17"/>
          <w:szCs w:val="17"/>
          <w:lang w:val="en-AU"/>
        </w:rPr>
        <w:t xml:space="preserve"> 19 and 89</w:t>
      </w:r>
    </w:p>
    <w:p w14:paraId="07EEC5BB" w14:textId="77777777" w:rsidR="00B847DA" w:rsidRPr="004D3685" w:rsidRDefault="00FC11DA" w:rsidP="00C87959">
      <w:pPr>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 xml:space="preserve">2. American National Standards Institute (ANSI), Association for the Advancement of Medical Instrumentation (AAMI) ST58:2013 Chemical Sterilization And High-level Disinfection In Health Care Facilities. Page 109. </w:t>
      </w:r>
    </w:p>
    <w:p w14:paraId="6E2442C4" w14:textId="1535AEF2" w:rsidR="00FC11DA" w:rsidRPr="004D3685" w:rsidRDefault="00B847DA" w:rsidP="00C87959">
      <w:pPr>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 xml:space="preserve">3. </w:t>
      </w:r>
      <w:r w:rsidR="004B114C" w:rsidRPr="004B114C">
        <w:rPr>
          <w:rFonts w:ascii="Century Gothic" w:hAnsi="Century Gothic" w:cs="Calibri"/>
          <w:color w:val="000000"/>
          <w:sz w:val="17"/>
          <w:szCs w:val="17"/>
          <w:lang w:val="en-AU"/>
        </w:rPr>
        <w:t>Food and Drug Administration (FDA). Information for Manufacturers Seeking Marketing Clearance of Diagnostic Ultrasoun</w:t>
      </w:r>
      <w:r w:rsidR="004B114C">
        <w:rPr>
          <w:rFonts w:ascii="Century Gothic" w:hAnsi="Century Gothic" w:cs="Calibri"/>
          <w:color w:val="000000"/>
          <w:sz w:val="17"/>
          <w:szCs w:val="17"/>
          <w:lang w:val="en-AU"/>
        </w:rPr>
        <w:t>d Systems and Transducers. 2008</w:t>
      </w:r>
      <w:r w:rsidRPr="004D3685">
        <w:rPr>
          <w:rFonts w:ascii="Century Gothic" w:hAnsi="Century Gothic" w:cs="Calibri"/>
          <w:color w:val="000000"/>
          <w:sz w:val="17"/>
          <w:szCs w:val="17"/>
          <w:lang w:val="en-AU"/>
        </w:rPr>
        <w:t>.</w:t>
      </w:r>
      <w:r w:rsidR="000B378B" w:rsidRPr="004D3685">
        <w:rPr>
          <w:rFonts w:ascii="Century Gothic" w:hAnsi="Century Gothic" w:cs="Calibri"/>
          <w:color w:val="000000"/>
          <w:sz w:val="17"/>
          <w:szCs w:val="17"/>
          <w:lang w:val="en-AU"/>
        </w:rPr>
        <w:t xml:space="preserve"> Pages 17 and 57.</w:t>
      </w:r>
      <w:r w:rsidRPr="004D3685">
        <w:rPr>
          <w:rFonts w:ascii="Century Gothic" w:hAnsi="Century Gothic" w:cs="Calibri"/>
          <w:color w:val="000000"/>
          <w:sz w:val="17"/>
          <w:szCs w:val="17"/>
          <w:lang w:val="en-AU"/>
        </w:rPr>
        <w:t xml:space="preserve"> </w:t>
      </w:r>
      <w:r w:rsidR="006A4A33" w:rsidRPr="004D3685">
        <w:rPr>
          <w:rFonts w:ascii="Century Gothic" w:hAnsi="Century Gothic" w:cs="Calibri"/>
          <w:color w:val="000000"/>
          <w:sz w:val="17"/>
          <w:szCs w:val="17"/>
          <w:lang w:val="en-AU"/>
        </w:rPr>
        <w:t xml:space="preserve">Available at: </w:t>
      </w:r>
      <w:hyperlink r:id="rId13" w:history="1">
        <w:r w:rsidR="009B4425" w:rsidRPr="004D3685">
          <w:rPr>
            <w:rStyle w:val="Hyperlink"/>
            <w:rFonts w:ascii="Century Gothic" w:hAnsi="Century Gothic" w:cs="Calibri"/>
            <w:sz w:val="17"/>
            <w:szCs w:val="17"/>
            <w:lang w:val="en-AU"/>
          </w:rPr>
          <w:t>https://www.fda.gov/downloads/UCM070911.pdf</w:t>
        </w:r>
      </w:hyperlink>
    </w:p>
    <w:p w14:paraId="00223D03" w14:textId="77777777" w:rsidR="00FC11DA" w:rsidRPr="004D3685" w:rsidRDefault="005D6652" w:rsidP="00C87959">
      <w:pPr>
        <w:autoSpaceDE w:val="0"/>
        <w:autoSpaceDN w:val="0"/>
        <w:adjustRightInd w:val="0"/>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4</w:t>
      </w:r>
      <w:r w:rsidR="00FC11DA" w:rsidRPr="004D3685">
        <w:rPr>
          <w:rFonts w:ascii="Century Gothic" w:hAnsi="Century Gothic" w:cs="Calibri"/>
          <w:color w:val="000000"/>
          <w:sz w:val="17"/>
          <w:szCs w:val="17"/>
          <w:lang w:val="en-AU"/>
        </w:rPr>
        <w:t xml:space="preserve">. Centers for Medicare and Medicaid Services (CMS), 2015. Hospital Infection Control Worksheet Section 3.B., Page 23. Available at: </w:t>
      </w:r>
      <w:hyperlink r:id="rId14" w:history="1">
        <w:r w:rsidR="00642911" w:rsidRPr="004D3685">
          <w:rPr>
            <w:rStyle w:val="Hyperlink"/>
            <w:rFonts w:ascii="Century Gothic" w:hAnsi="Century Gothic" w:cs="Calibri"/>
            <w:sz w:val="17"/>
            <w:szCs w:val="17"/>
            <w:lang w:val="en-AU"/>
          </w:rPr>
          <w:t>https://www.cms.gov/medicare/provider-enrollment-and-certification/surveycertificationgeninfo/downloads/survey-and-cert-letter-15-12-attachment-1.pdf</w:t>
        </w:r>
      </w:hyperlink>
    </w:p>
    <w:p w14:paraId="3C8B4D78" w14:textId="0A07FF87" w:rsidR="00FC11DA" w:rsidRPr="004D3685" w:rsidRDefault="005D6652" w:rsidP="00C87959">
      <w:pPr>
        <w:autoSpaceDE w:val="0"/>
        <w:autoSpaceDN w:val="0"/>
        <w:adjustRightInd w:val="0"/>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5</w:t>
      </w:r>
      <w:r w:rsidR="00FC11DA" w:rsidRPr="004D3685">
        <w:rPr>
          <w:rFonts w:ascii="Century Gothic" w:hAnsi="Century Gothic" w:cs="Calibri"/>
          <w:color w:val="000000"/>
          <w:sz w:val="17"/>
          <w:szCs w:val="17"/>
          <w:lang w:val="en-AU"/>
        </w:rPr>
        <w:t xml:space="preserve">. </w:t>
      </w:r>
      <w:r w:rsidR="004B114C" w:rsidRPr="004B114C">
        <w:rPr>
          <w:rFonts w:ascii="Century Gothic" w:hAnsi="Century Gothic" w:cs="Calibri"/>
          <w:color w:val="000000"/>
          <w:sz w:val="17"/>
          <w:szCs w:val="17"/>
          <w:lang w:val="en-AU"/>
        </w:rPr>
        <w:t xml:space="preserve">Food and Drug Administration (FDA). Content and Format of Premarket Notification [510(k)] Submissions for Liquid Chemical </w:t>
      </w:r>
      <w:proofErr w:type="spellStart"/>
      <w:r w:rsidR="004B114C" w:rsidRPr="004B114C">
        <w:rPr>
          <w:rFonts w:ascii="Century Gothic" w:hAnsi="Century Gothic" w:cs="Calibri"/>
          <w:color w:val="000000"/>
          <w:sz w:val="17"/>
          <w:szCs w:val="17"/>
          <w:lang w:val="en-AU"/>
        </w:rPr>
        <w:t>Sterilants</w:t>
      </w:r>
      <w:proofErr w:type="spellEnd"/>
      <w:r w:rsidR="004B114C" w:rsidRPr="004B114C">
        <w:rPr>
          <w:rFonts w:ascii="Century Gothic" w:hAnsi="Century Gothic" w:cs="Calibri"/>
          <w:color w:val="000000"/>
          <w:sz w:val="17"/>
          <w:szCs w:val="17"/>
          <w:lang w:val="en-AU"/>
        </w:rPr>
        <w:t>/H</w:t>
      </w:r>
      <w:r w:rsidR="004B114C">
        <w:rPr>
          <w:rFonts w:ascii="Century Gothic" w:hAnsi="Century Gothic" w:cs="Calibri"/>
          <w:color w:val="000000"/>
          <w:sz w:val="17"/>
          <w:szCs w:val="17"/>
          <w:lang w:val="en-AU"/>
        </w:rPr>
        <w:t>igh Level Disinfectants. 2000.</w:t>
      </w:r>
      <w:r w:rsidR="00FC11DA" w:rsidRPr="004D3685">
        <w:rPr>
          <w:rFonts w:ascii="Century Gothic" w:hAnsi="Century Gothic" w:cs="Calibri"/>
          <w:color w:val="000000"/>
          <w:sz w:val="17"/>
          <w:szCs w:val="17"/>
          <w:lang w:val="en-AU"/>
        </w:rPr>
        <w:t xml:space="preserve"> Page 22. Available at: </w:t>
      </w:r>
      <w:hyperlink r:id="rId15" w:history="1">
        <w:r w:rsidR="00FC11DA" w:rsidRPr="004D3685">
          <w:rPr>
            <w:rStyle w:val="Hyperlink"/>
            <w:rFonts w:ascii="Century Gothic" w:hAnsi="Century Gothic" w:cs="Calibri"/>
            <w:sz w:val="17"/>
            <w:szCs w:val="17"/>
            <w:lang w:val="en-AU"/>
          </w:rPr>
          <w:t>https://www.fda.gov/downloads/MedicalDevices/DeviceRegulationandGuidance/GuidanceDocuments/ucm077575.pdf</w:t>
        </w:r>
      </w:hyperlink>
      <w:r w:rsidR="00FC11DA" w:rsidRPr="004D3685">
        <w:rPr>
          <w:rFonts w:ascii="Century Gothic" w:hAnsi="Century Gothic" w:cs="Calibri"/>
          <w:color w:val="000000"/>
          <w:sz w:val="17"/>
          <w:szCs w:val="17"/>
          <w:lang w:val="en-AU"/>
        </w:rPr>
        <w:t xml:space="preserve">     </w:t>
      </w:r>
    </w:p>
    <w:p w14:paraId="4727C2F8" w14:textId="0465E7A2" w:rsidR="00FC11DA" w:rsidRPr="004D3685" w:rsidRDefault="008D77F0" w:rsidP="00C87959">
      <w:pPr>
        <w:spacing w:after="0" w:line="240" w:lineRule="auto"/>
        <w:rPr>
          <w:rFonts w:ascii="Century Gothic" w:hAnsi="Century Gothic" w:cs="Calibri"/>
          <w:color w:val="000000"/>
          <w:sz w:val="17"/>
          <w:szCs w:val="17"/>
          <w:lang w:val="en-AU"/>
        </w:rPr>
      </w:pPr>
      <w:r w:rsidRPr="004D3685">
        <w:rPr>
          <w:rFonts w:ascii="Century Gothic" w:hAnsi="Century Gothic" w:cs="Calibri"/>
          <w:color w:val="000000"/>
          <w:sz w:val="17"/>
          <w:szCs w:val="17"/>
          <w:lang w:val="en-AU"/>
        </w:rPr>
        <w:t>6</w:t>
      </w:r>
      <w:r w:rsidR="00FC11DA" w:rsidRPr="004D3685">
        <w:rPr>
          <w:rFonts w:ascii="Century Gothic" w:hAnsi="Century Gothic" w:cs="Calibri"/>
          <w:color w:val="000000"/>
          <w:sz w:val="17"/>
          <w:szCs w:val="17"/>
          <w:lang w:val="en-AU"/>
        </w:rPr>
        <w:t xml:space="preserve">. </w:t>
      </w:r>
      <w:r w:rsidR="004B114C" w:rsidRPr="004B114C">
        <w:rPr>
          <w:rFonts w:ascii="Century Gothic" w:hAnsi="Century Gothic" w:cs="Calibri"/>
          <w:color w:val="000000"/>
          <w:sz w:val="17"/>
          <w:szCs w:val="17"/>
          <w:lang w:val="en-AU"/>
        </w:rPr>
        <w:t>Food and Drug Administration (FDA). Reprocessing Medical Devices in Health Care Settings: Valida</w:t>
      </w:r>
      <w:r w:rsidR="004B114C">
        <w:rPr>
          <w:rFonts w:ascii="Century Gothic" w:hAnsi="Century Gothic" w:cs="Calibri"/>
          <w:color w:val="000000"/>
          <w:sz w:val="17"/>
          <w:szCs w:val="17"/>
          <w:lang w:val="en-AU"/>
        </w:rPr>
        <w:t xml:space="preserve">tion Methods and </w:t>
      </w:r>
      <w:proofErr w:type="spellStart"/>
      <w:r w:rsidR="004B114C">
        <w:rPr>
          <w:rFonts w:ascii="Century Gothic" w:hAnsi="Century Gothic" w:cs="Calibri"/>
          <w:color w:val="000000"/>
          <w:sz w:val="17"/>
          <w:szCs w:val="17"/>
          <w:lang w:val="en-AU"/>
        </w:rPr>
        <w:t>Labeling</w:t>
      </w:r>
      <w:proofErr w:type="spellEnd"/>
      <w:r w:rsidR="004B114C">
        <w:rPr>
          <w:rFonts w:ascii="Century Gothic" w:hAnsi="Century Gothic" w:cs="Calibri"/>
          <w:color w:val="000000"/>
          <w:sz w:val="17"/>
          <w:szCs w:val="17"/>
          <w:lang w:val="en-AU"/>
        </w:rPr>
        <w:t>. 2015</w:t>
      </w:r>
      <w:r w:rsidR="00FC11DA" w:rsidRPr="004D3685">
        <w:rPr>
          <w:rFonts w:ascii="Century Gothic" w:hAnsi="Century Gothic" w:cs="Calibri"/>
          <w:color w:val="000000"/>
          <w:sz w:val="17"/>
          <w:szCs w:val="17"/>
          <w:lang w:val="en-AU"/>
        </w:rPr>
        <w:t xml:space="preserve">. Page 10. Available at: </w:t>
      </w:r>
      <w:hyperlink r:id="rId16" w:history="1">
        <w:r w:rsidR="00FC11DA" w:rsidRPr="004D3685">
          <w:rPr>
            <w:rStyle w:val="Hyperlink"/>
            <w:rFonts w:ascii="Century Gothic" w:hAnsi="Century Gothic" w:cs="Calibri"/>
            <w:sz w:val="17"/>
            <w:szCs w:val="17"/>
            <w:lang w:val="en-AU"/>
          </w:rPr>
          <w:t>https://www.fda.gov/downloads/medicaldevices/deviceregulationandguidance/guidancedocuments/ucm253010.pdf</w:t>
        </w:r>
      </w:hyperlink>
    </w:p>
    <w:p w14:paraId="5B6F8C2B" w14:textId="091ACF47" w:rsidR="00921C44" w:rsidRDefault="008D77F0" w:rsidP="00C87959">
      <w:pPr>
        <w:autoSpaceDE w:val="0"/>
        <w:autoSpaceDN w:val="0"/>
        <w:adjustRightInd w:val="0"/>
        <w:spacing w:after="0" w:line="240" w:lineRule="auto"/>
        <w:rPr>
          <w:rFonts w:ascii="Century Gothic" w:hAnsi="Century Gothic" w:cs="Calibri"/>
          <w:sz w:val="17"/>
          <w:szCs w:val="17"/>
          <w:lang w:val="en-AU"/>
        </w:rPr>
      </w:pPr>
      <w:r w:rsidRPr="004D3685">
        <w:rPr>
          <w:rFonts w:ascii="Century Gothic" w:hAnsi="Century Gothic" w:cs="Calibri"/>
          <w:color w:val="000000"/>
          <w:sz w:val="17"/>
          <w:szCs w:val="17"/>
          <w:lang w:val="en-AU"/>
        </w:rPr>
        <w:t>7</w:t>
      </w:r>
      <w:r w:rsidR="00FC11DA" w:rsidRPr="004D3685">
        <w:rPr>
          <w:rFonts w:ascii="Century Gothic" w:hAnsi="Century Gothic" w:cs="Calibri"/>
          <w:color w:val="000000"/>
          <w:sz w:val="17"/>
          <w:szCs w:val="17"/>
          <w:lang w:val="en-AU"/>
        </w:rPr>
        <w:t xml:space="preserve">. The Joint Commission (TJC), 2016. High-Level Disinfection (HLD) and Sterilization BoosterPak. Available at: </w:t>
      </w:r>
      <w:r w:rsidR="00FC11DA" w:rsidRPr="004D3685">
        <w:rPr>
          <w:rFonts w:ascii="Century Gothic" w:hAnsi="Century Gothic" w:cs="Calibri"/>
          <w:sz w:val="17"/>
          <w:szCs w:val="17"/>
          <w:lang w:val="en-AU"/>
        </w:rPr>
        <w:t>https://www.jointcommission.org/assets/1/6/TJC_HLD_BoosterPak.pdf</w:t>
      </w:r>
    </w:p>
    <w:p w14:paraId="648E9056" w14:textId="195C7EF7" w:rsidR="004B114C" w:rsidRDefault="004B114C" w:rsidP="00C87959">
      <w:pPr>
        <w:autoSpaceDE w:val="0"/>
        <w:autoSpaceDN w:val="0"/>
        <w:adjustRightInd w:val="0"/>
        <w:spacing w:after="0" w:line="240" w:lineRule="auto"/>
        <w:rPr>
          <w:rFonts w:ascii="Century Gothic" w:hAnsi="Century Gothic" w:cs="Calibri"/>
          <w:sz w:val="17"/>
          <w:szCs w:val="17"/>
          <w:lang w:val="en-AU"/>
        </w:rPr>
      </w:pPr>
    </w:p>
    <w:p w14:paraId="0C7F8587" w14:textId="5B54C838" w:rsidR="004B114C" w:rsidRDefault="004B114C" w:rsidP="00C87959">
      <w:pPr>
        <w:autoSpaceDE w:val="0"/>
        <w:autoSpaceDN w:val="0"/>
        <w:adjustRightInd w:val="0"/>
        <w:spacing w:after="0" w:line="240" w:lineRule="auto"/>
        <w:rPr>
          <w:rFonts w:ascii="Century Gothic" w:hAnsi="Century Gothic" w:cs="Calibri"/>
          <w:sz w:val="17"/>
          <w:szCs w:val="17"/>
          <w:lang w:val="en-AU"/>
        </w:rPr>
      </w:pPr>
    </w:p>
    <w:p w14:paraId="5E91F551" w14:textId="32946E50" w:rsidR="004B114C" w:rsidRPr="004D3685" w:rsidRDefault="004B114C" w:rsidP="004B114C">
      <w:pPr>
        <w:autoSpaceDE w:val="0"/>
        <w:autoSpaceDN w:val="0"/>
        <w:adjustRightInd w:val="0"/>
        <w:spacing w:after="0" w:line="240" w:lineRule="auto"/>
        <w:rPr>
          <w:rStyle w:val="Hyperlink"/>
          <w:rFonts w:ascii="Century Gothic" w:hAnsi="Century Gothic" w:cs="Calibri"/>
          <w:color w:val="auto"/>
          <w:sz w:val="17"/>
          <w:szCs w:val="17"/>
          <w:u w:val="none"/>
          <w:lang w:val="en-AU"/>
        </w:rPr>
        <w:sectPr w:rsidR="004B114C" w:rsidRPr="004D3685" w:rsidSect="00AA2C92">
          <w:pgSz w:w="12240" w:h="15840" w:code="1"/>
          <w:pgMar w:top="1440" w:right="1440" w:bottom="1440" w:left="1440" w:header="709" w:footer="709" w:gutter="0"/>
          <w:cols w:space="708"/>
          <w:formProt w:val="0"/>
          <w:docGrid w:linePitch="360"/>
        </w:sectPr>
      </w:pPr>
      <w:bookmarkStart w:id="0" w:name="_GoBack"/>
      <w:bookmarkEnd w:id="0"/>
    </w:p>
    <w:p w14:paraId="616132EC" w14:textId="21081A78" w:rsidR="00555667" w:rsidRPr="00643760" w:rsidRDefault="005E2DA3" w:rsidP="00921C44">
      <w:pPr>
        <w:spacing w:after="0" w:line="240" w:lineRule="auto"/>
        <w:rPr>
          <w:rFonts w:ascii="Century Gothic" w:hAnsi="Century Gothic" w:cs="Calibri"/>
          <w:color w:val="000000"/>
          <w:sz w:val="10"/>
          <w:szCs w:val="18"/>
          <w:lang w:val="en-AU"/>
        </w:rPr>
      </w:pPr>
      <w:r>
        <w:rPr>
          <w:rFonts w:ascii="Century Gothic" w:hAnsi="Century Gothic" w:cs="Calibri"/>
          <w:noProof/>
          <w:color w:val="000000"/>
          <w:sz w:val="10"/>
          <w:szCs w:val="18"/>
          <w:lang w:val="en-AU" w:eastAsia="en-AU"/>
        </w:rPr>
        <w:lastRenderedPageBreak/>
        <w:drawing>
          <wp:inline distT="0" distB="0" distL="0" distR="0" wp14:anchorId="4EEC2E1B" wp14:editId="1BEEC6FC">
            <wp:extent cx="6858000" cy="91440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0516-Tool 2_TCC_1.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68EB77C0" w14:textId="17FD4464" w:rsidR="00555667" w:rsidRPr="00643760" w:rsidRDefault="005E2DA3" w:rsidP="000226A6">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6A357DE0" wp14:editId="0477704B">
            <wp:extent cx="6858000" cy="9144000"/>
            <wp:effectExtent l="0" t="0" r="0" b="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0516-Tool 2_TCC_2.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2C5DEFCC" w14:textId="786D009E"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08BD9A7F" wp14:editId="6A173825">
            <wp:extent cx="6858000" cy="9144000"/>
            <wp:effectExtent l="0" t="0" r="0" b="0"/>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_0516-Tool 2_TCC_3.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2AC51FEE" w14:textId="5D02B096"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4B3D5903" wp14:editId="2CB71E70">
            <wp:extent cx="6858000" cy="9144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_0516-Tool 2_TCC_4.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6766B77D" w14:textId="5D94476B"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5CB3BEBD" wp14:editId="3E0A5333">
            <wp:extent cx="6858000" cy="9144000"/>
            <wp:effectExtent l="0" t="0" r="0" b="0"/>
            <wp:docPr id="14" name="Picture 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_0516-Tool 2_TCC_5.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1C84AF49" wp14:editId="777C0508">
            <wp:extent cx="6858000" cy="91440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0516-Tool 2_TCC_6.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6A9A21EE" w14:textId="4BB9A6AA"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2C3BB767" wp14:editId="1B7C9C10">
            <wp:extent cx="6858000" cy="91440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_0516-Tool 2_TCC_7.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36149A67" w14:textId="055086C9"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7D4F8C2E" wp14:editId="08E240AD">
            <wp:extent cx="6858000" cy="91440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_0516-Tool 2_TCC_8.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4F742D52" w14:textId="18E3F64A"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7C6C3F49" wp14:editId="7E9FB4B7">
            <wp:extent cx="6858000" cy="91440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_0516-Tool 2_TCC_9.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36FB7CB4" w14:textId="1200936D" w:rsidR="00555667" w:rsidRPr="00643760" w:rsidRDefault="005E2DA3" w:rsidP="00F54EAD">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3B24746B" wp14:editId="667C4A1C">
            <wp:extent cx="6858000" cy="91440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_0516-Tool 2_TCC_10.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68EBDE07" w14:textId="683C1F77" w:rsidR="00555667"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658FF42A" wp14:editId="2A15BBBA">
            <wp:extent cx="6858000" cy="9144000"/>
            <wp:effectExtent l="0" t="0" r="0" b="0"/>
            <wp:docPr id="25" name="Picture 2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_0516-Tool 2_TCC_11.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555667" w:rsidRPr="00643760">
        <w:rPr>
          <w:rFonts w:ascii="Century Gothic" w:eastAsiaTheme="minorEastAsia" w:hAnsi="Century Gothic"/>
          <w:bCs/>
          <w:i/>
          <w:iCs/>
          <w:color w:val="000000" w:themeColor="text1"/>
          <w:kern w:val="24"/>
          <w:sz w:val="16"/>
          <w:szCs w:val="16"/>
          <w:lang w:eastAsia="en-AU"/>
        </w:rPr>
        <w:br w:type="page"/>
      </w:r>
    </w:p>
    <w:p w14:paraId="3BB1AE2D" w14:textId="3D5167E6" w:rsidR="00C522D9"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770BBF17" wp14:editId="0C00DD3A">
            <wp:extent cx="6858000" cy="9144000"/>
            <wp:effectExtent l="0" t="0" r="0" b="0"/>
            <wp:docPr id="33" name="Picture 3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_0516-Tool 2_TCC_12.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360AAC82" w14:textId="79FBA02A" w:rsidR="00277F10" w:rsidRPr="00643760" w:rsidRDefault="005E2DA3" w:rsidP="00555667">
      <w:pPr>
        <w:jc w:val="center"/>
        <w:rPr>
          <w:rFonts w:ascii="Century Gothic" w:eastAsiaTheme="minorEastAsia" w:hAnsi="Century Gothic"/>
          <w:bCs/>
          <w:i/>
          <w:iCs/>
          <w:color w:val="000000" w:themeColor="text1"/>
          <w:kern w:val="24"/>
          <w:sz w:val="16"/>
          <w:szCs w:val="16"/>
          <w:lang w:eastAsia="en-AU"/>
        </w:rPr>
      </w:pPr>
      <w:r>
        <w:rPr>
          <w:rFonts w:ascii="Century Gothic" w:eastAsiaTheme="minorEastAsia" w:hAnsi="Century Gothic"/>
          <w:bCs/>
          <w:i/>
          <w:iCs/>
          <w:noProof/>
          <w:color w:val="000000" w:themeColor="text1"/>
          <w:kern w:val="24"/>
          <w:sz w:val="16"/>
          <w:szCs w:val="16"/>
          <w:lang w:val="en-AU" w:eastAsia="en-AU"/>
        </w:rPr>
        <w:lastRenderedPageBreak/>
        <w:drawing>
          <wp:inline distT="0" distB="0" distL="0" distR="0" wp14:anchorId="453C7739" wp14:editId="404898F7">
            <wp:extent cx="6858000" cy="914400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_0516-Tool 2_TCC_13.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277F10" w:rsidRPr="00643760" w:rsidSect="00A960B4">
      <w:footerReference w:type="default" r:id="rId30"/>
      <w:pgSz w:w="12240" w:h="15840" w:code="1"/>
      <w:pgMar w:top="720" w:right="720" w:bottom="720" w:left="72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191C1" w14:textId="77777777" w:rsidR="00D42F32" w:rsidRDefault="00D42F32" w:rsidP="00D23770">
      <w:pPr>
        <w:spacing w:after="0" w:line="240" w:lineRule="auto"/>
      </w:pPr>
      <w:r>
        <w:separator/>
      </w:r>
    </w:p>
  </w:endnote>
  <w:endnote w:type="continuationSeparator" w:id="0">
    <w:p w14:paraId="0ECE18E0" w14:textId="77777777" w:rsidR="00D42F32" w:rsidRDefault="00D42F32" w:rsidP="00D2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0331"/>
      <w:docPartObj>
        <w:docPartGallery w:val="Page Numbers (Bottom of Page)"/>
        <w:docPartUnique/>
      </w:docPartObj>
    </w:sdtPr>
    <w:sdtEndPr>
      <w:rPr>
        <w:noProof/>
      </w:rPr>
    </w:sdtEndPr>
    <w:sdtContent>
      <w:p w14:paraId="4A967A1A" w14:textId="19D7397A" w:rsidR="005A672F" w:rsidRDefault="005A672F">
        <w:pPr>
          <w:pStyle w:val="Footer"/>
          <w:jc w:val="right"/>
        </w:pPr>
        <w:r>
          <w:fldChar w:fldCharType="begin"/>
        </w:r>
        <w:r>
          <w:instrText xml:space="preserve"> PAGE   \* MERGEFORMAT </w:instrText>
        </w:r>
        <w:r>
          <w:fldChar w:fldCharType="separate"/>
        </w:r>
        <w:r w:rsidR="004B114C">
          <w:rPr>
            <w:noProof/>
          </w:rPr>
          <w:t>4</w:t>
        </w:r>
        <w:r>
          <w:rPr>
            <w:noProof/>
          </w:rPr>
          <w:fldChar w:fldCharType="end"/>
        </w:r>
      </w:p>
    </w:sdtContent>
  </w:sdt>
  <w:p w14:paraId="09D7042D" w14:textId="77777777" w:rsidR="005A672F" w:rsidRDefault="005A6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A90B8" w14:textId="77777777" w:rsidR="005A672F" w:rsidRDefault="005A672F">
    <w:pPr>
      <w:pStyle w:val="Footer"/>
      <w:jc w:val="right"/>
    </w:pPr>
  </w:p>
  <w:p w14:paraId="34DED4F6" w14:textId="77777777" w:rsidR="005A672F" w:rsidRDefault="005A6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82265"/>
      <w:docPartObj>
        <w:docPartGallery w:val="Page Numbers (Bottom of Page)"/>
        <w:docPartUnique/>
      </w:docPartObj>
    </w:sdtPr>
    <w:sdtEndPr>
      <w:rPr>
        <w:noProof/>
      </w:rPr>
    </w:sdtEndPr>
    <w:sdtContent>
      <w:p w14:paraId="0CB2E9DB" w14:textId="29055205" w:rsidR="00E67F13" w:rsidRDefault="00E67F13">
        <w:pPr>
          <w:pStyle w:val="Footer"/>
          <w:jc w:val="right"/>
        </w:pPr>
        <w:r>
          <w:fldChar w:fldCharType="begin"/>
        </w:r>
        <w:r>
          <w:instrText xml:space="preserve"> PAGE   \* MERGEFORMAT </w:instrText>
        </w:r>
        <w:r>
          <w:fldChar w:fldCharType="separate"/>
        </w:r>
        <w:r w:rsidR="004B114C">
          <w:rPr>
            <w:noProof/>
          </w:rPr>
          <w:t>4</w:t>
        </w:r>
        <w:r>
          <w:rPr>
            <w:noProof/>
          </w:rPr>
          <w:fldChar w:fldCharType="end"/>
        </w:r>
      </w:p>
    </w:sdtContent>
  </w:sdt>
  <w:p w14:paraId="46C224B7" w14:textId="77777777" w:rsidR="00B20B97" w:rsidRDefault="00B20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D4B4" w14:textId="77777777" w:rsidR="00E67F13" w:rsidRDefault="00E67F13">
    <w:pPr>
      <w:pStyle w:val="Footer"/>
      <w:jc w:val="right"/>
    </w:pPr>
  </w:p>
  <w:p w14:paraId="100FD762" w14:textId="77777777" w:rsidR="00E67F13" w:rsidRDefault="00E67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0711E" w14:textId="77777777" w:rsidR="00D42F32" w:rsidRDefault="00D42F32" w:rsidP="00D23770">
      <w:pPr>
        <w:spacing w:after="0" w:line="240" w:lineRule="auto"/>
      </w:pPr>
      <w:r>
        <w:separator/>
      </w:r>
    </w:p>
  </w:footnote>
  <w:footnote w:type="continuationSeparator" w:id="0">
    <w:p w14:paraId="00161FFF" w14:textId="77777777" w:rsidR="00D42F32" w:rsidRDefault="00D42F32" w:rsidP="00D2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8A153" w14:textId="77777777" w:rsidR="005A672F" w:rsidRDefault="005A672F" w:rsidP="000215B3">
    <w:pPr>
      <w:pStyle w:val="Header"/>
      <w:tabs>
        <w:tab w:val="clear" w:pos="9360"/>
        <w:tab w:val="left" w:pos="9356"/>
      </w:tabs>
      <w:ind w:left="-1418"/>
    </w:pPr>
    <w:r>
      <w:rPr>
        <w:noProof/>
        <w:lang w:val="en-AU" w:eastAsia="en-AU"/>
      </w:rPr>
      <w:drawing>
        <wp:anchor distT="0" distB="0" distL="114300" distR="114300" simplePos="0" relativeHeight="251657216" behindDoc="0" locked="0" layoutInCell="1" allowOverlap="1" wp14:anchorId="36DC2829" wp14:editId="36FD719B">
          <wp:simplePos x="0" y="0"/>
          <wp:positionH relativeFrom="column">
            <wp:posOffset>450215</wp:posOffset>
          </wp:positionH>
          <wp:positionV relativeFrom="paragraph">
            <wp:posOffset>9713595</wp:posOffset>
          </wp:positionV>
          <wp:extent cx="8285480" cy="10714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0084_BG_v1_Content_Portrait.png"/>
                  <pic:cNvPicPr/>
                </pic:nvPicPr>
                <pic:blipFill>
                  <a:blip r:embed="rId1">
                    <a:extLst>
                      <a:ext uri="{28A0092B-C50C-407E-A947-70E740481C1C}">
                        <a14:useLocalDpi xmlns:a14="http://schemas.microsoft.com/office/drawing/2010/main" val="0"/>
                      </a:ext>
                    </a:extLst>
                  </a:blip>
                  <a:stretch>
                    <a:fillRect/>
                  </a:stretch>
                </pic:blipFill>
                <pic:spPr>
                  <a:xfrm>
                    <a:off x="0" y="0"/>
                    <a:ext cx="8285480" cy="1071435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710"/>
    <w:multiLevelType w:val="hybridMultilevel"/>
    <w:tmpl w:val="1802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40578F"/>
    <w:multiLevelType w:val="hybridMultilevel"/>
    <w:tmpl w:val="8AF0AC9C"/>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634D2"/>
    <w:multiLevelType w:val="hybridMultilevel"/>
    <w:tmpl w:val="1B525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39711E"/>
    <w:multiLevelType w:val="hybridMultilevel"/>
    <w:tmpl w:val="BC56D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D329B4"/>
    <w:multiLevelType w:val="hybridMultilevel"/>
    <w:tmpl w:val="34F04754"/>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74EF2"/>
    <w:multiLevelType w:val="hybridMultilevel"/>
    <w:tmpl w:val="284E9538"/>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060D4"/>
    <w:multiLevelType w:val="hybridMultilevel"/>
    <w:tmpl w:val="5F1C0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73253"/>
    <w:multiLevelType w:val="hybridMultilevel"/>
    <w:tmpl w:val="DC205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A4B68"/>
    <w:multiLevelType w:val="hybridMultilevel"/>
    <w:tmpl w:val="22D0FDFC"/>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005B0"/>
    <w:multiLevelType w:val="hybridMultilevel"/>
    <w:tmpl w:val="B67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1125F3"/>
    <w:multiLevelType w:val="hybridMultilevel"/>
    <w:tmpl w:val="A15A7642"/>
    <w:lvl w:ilvl="0" w:tplc="0C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447204B8"/>
    <w:multiLevelType w:val="hybridMultilevel"/>
    <w:tmpl w:val="11F08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4C3CF0"/>
    <w:multiLevelType w:val="hybridMultilevel"/>
    <w:tmpl w:val="CAC6B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4E7465"/>
    <w:multiLevelType w:val="hybridMultilevel"/>
    <w:tmpl w:val="0D02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BE4EAB"/>
    <w:multiLevelType w:val="hybridMultilevel"/>
    <w:tmpl w:val="82881B0E"/>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C612A"/>
    <w:multiLevelType w:val="hybridMultilevel"/>
    <w:tmpl w:val="A45840D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62790EE5"/>
    <w:multiLevelType w:val="hybridMultilevel"/>
    <w:tmpl w:val="9EEAE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6D126C"/>
    <w:multiLevelType w:val="hybridMultilevel"/>
    <w:tmpl w:val="40348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6A5DCD"/>
    <w:multiLevelType w:val="hybridMultilevel"/>
    <w:tmpl w:val="999C9712"/>
    <w:lvl w:ilvl="0" w:tplc="CAB28A0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A2D76"/>
    <w:multiLevelType w:val="hybridMultilevel"/>
    <w:tmpl w:val="6A4E8DC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7EC93FE8"/>
    <w:multiLevelType w:val="hybridMultilevel"/>
    <w:tmpl w:val="9E70D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9"/>
  </w:num>
  <w:num w:numId="4">
    <w:abstractNumId w:val="19"/>
  </w:num>
  <w:num w:numId="5">
    <w:abstractNumId w:val="10"/>
  </w:num>
  <w:num w:numId="6">
    <w:abstractNumId w:val="15"/>
  </w:num>
  <w:num w:numId="7">
    <w:abstractNumId w:val="18"/>
  </w:num>
  <w:num w:numId="8">
    <w:abstractNumId w:val="1"/>
  </w:num>
  <w:num w:numId="9">
    <w:abstractNumId w:val="14"/>
  </w:num>
  <w:num w:numId="10">
    <w:abstractNumId w:val="8"/>
  </w:num>
  <w:num w:numId="11">
    <w:abstractNumId w:val="4"/>
  </w:num>
  <w:num w:numId="12">
    <w:abstractNumId w:val="16"/>
  </w:num>
  <w:num w:numId="13">
    <w:abstractNumId w:val="12"/>
  </w:num>
  <w:num w:numId="14">
    <w:abstractNumId w:val="7"/>
  </w:num>
  <w:num w:numId="15">
    <w:abstractNumId w:val="11"/>
  </w:num>
  <w:num w:numId="16">
    <w:abstractNumId w:val="17"/>
  </w:num>
  <w:num w:numId="17">
    <w:abstractNumId w:val="2"/>
  </w:num>
  <w:num w:numId="18">
    <w:abstractNumId w:val="3"/>
  </w:num>
  <w:num w:numId="19">
    <w:abstractNumId w:val="20"/>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ocumentProtection w:edit="readOnly" w:enforcement="1" w:cryptProviderType="rsaAES" w:cryptAlgorithmClass="hash" w:cryptAlgorithmType="typeAny" w:cryptAlgorithmSid="14" w:cryptSpinCount="100000" w:hash="ZpAcl/u6cXbJwC8PckG3y3Xeesp7QjoKnEZjBqDwZmjidJtCBlFyn0jD/qGCqVnT84cOY9OVGTYFaXT6atULGg==" w:salt="HgkVWJEqp6PJ3rXOTqM6r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770"/>
    <w:rsid w:val="000213FB"/>
    <w:rsid w:val="000226A6"/>
    <w:rsid w:val="00031A48"/>
    <w:rsid w:val="0004015D"/>
    <w:rsid w:val="00042945"/>
    <w:rsid w:val="00062124"/>
    <w:rsid w:val="000801C6"/>
    <w:rsid w:val="00082482"/>
    <w:rsid w:val="0009559B"/>
    <w:rsid w:val="000A3606"/>
    <w:rsid w:val="000B378B"/>
    <w:rsid w:val="000C7194"/>
    <w:rsid w:val="000F47BD"/>
    <w:rsid w:val="00111CC7"/>
    <w:rsid w:val="001166AE"/>
    <w:rsid w:val="00132BDF"/>
    <w:rsid w:val="00156889"/>
    <w:rsid w:val="00162731"/>
    <w:rsid w:val="00196020"/>
    <w:rsid w:val="00196AD6"/>
    <w:rsid w:val="00196B57"/>
    <w:rsid w:val="001A67C6"/>
    <w:rsid w:val="001B2F54"/>
    <w:rsid w:val="001E3F52"/>
    <w:rsid w:val="001F0FCC"/>
    <w:rsid w:val="001F3A69"/>
    <w:rsid w:val="001F771C"/>
    <w:rsid w:val="00225D07"/>
    <w:rsid w:val="00232A1E"/>
    <w:rsid w:val="00254CE4"/>
    <w:rsid w:val="00264689"/>
    <w:rsid w:val="00277F10"/>
    <w:rsid w:val="002A4C16"/>
    <w:rsid w:val="002B4DE5"/>
    <w:rsid w:val="002D3519"/>
    <w:rsid w:val="00306A3B"/>
    <w:rsid w:val="00306C99"/>
    <w:rsid w:val="003317AB"/>
    <w:rsid w:val="00334200"/>
    <w:rsid w:val="00340E4F"/>
    <w:rsid w:val="003750E4"/>
    <w:rsid w:val="003C56E4"/>
    <w:rsid w:val="003D0194"/>
    <w:rsid w:val="003F04E6"/>
    <w:rsid w:val="003F11B3"/>
    <w:rsid w:val="003F2B20"/>
    <w:rsid w:val="003F5DC6"/>
    <w:rsid w:val="00405C21"/>
    <w:rsid w:val="0041691A"/>
    <w:rsid w:val="00437D8C"/>
    <w:rsid w:val="004509BE"/>
    <w:rsid w:val="00454806"/>
    <w:rsid w:val="0045778B"/>
    <w:rsid w:val="004708F1"/>
    <w:rsid w:val="004A6443"/>
    <w:rsid w:val="004B114C"/>
    <w:rsid w:val="004B1E59"/>
    <w:rsid w:val="004D0D38"/>
    <w:rsid w:val="004D23AB"/>
    <w:rsid w:val="004D3685"/>
    <w:rsid w:val="00501213"/>
    <w:rsid w:val="005227BD"/>
    <w:rsid w:val="00555667"/>
    <w:rsid w:val="0056477F"/>
    <w:rsid w:val="00576F93"/>
    <w:rsid w:val="005A672F"/>
    <w:rsid w:val="005A79A1"/>
    <w:rsid w:val="005C7FF0"/>
    <w:rsid w:val="005D1767"/>
    <w:rsid w:val="005D4C99"/>
    <w:rsid w:val="005D6652"/>
    <w:rsid w:val="005E2DA3"/>
    <w:rsid w:val="00604CAA"/>
    <w:rsid w:val="00606FDB"/>
    <w:rsid w:val="00614573"/>
    <w:rsid w:val="00625F2B"/>
    <w:rsid w:val="00627727"/>
    <w:rsid w:val="006351EB"/>
    <w:rsid w:val="006422EB"/>
    <w:rsid w:val="00642911"/>
    <w:rsid w:val="00643760"/>
    <w:rsid w:val="00650EE3"/>
    <w:rsid w:val="0066587C"/>
    <w:rsid w:val="00666A67"/>
    <w:rsid w:val="00667D9F"/>
    <w:rsid w:val="00682AE2"/>
    <w:rsid w:val="00696683"/>
    <w:rsid w:val="006A4246"/>
    <w:rsid w:val="006A4A33"/>
    <w:rsid w:val="006B5C35"/>
    <w:rsid w:val="006B69DF"/>
    <w:rsid w:val="006D10C6"/>
    <w:rsid w:val="006E773B"/>
    <w:rsid w:val="0070388E"/>
    <w:rsid w:val="00707E0A"/>
    <w:rsid w:val="0071244F"/>
    <w:rsid w:val="00741BD8"/>
    <w:rsid w:val="00747403"/>
    <w:rsid w:val="00756698"/>
    <w:rsid w:val="00782BFA"/>
    <w:rsid w:val="00794986"/>
    <w:rsid w:val="007A2FA2"/>
    <w:rsid w:val="007B4B9B"/>
    <w:rsid w:val="007E6AA7"/>
    <w:rsid w:val="008128A8"/>
    <w:rsid w:val="00824485"/>
    <w:rsid w:val="008272E7"/>
    <w:rsid w:val="008455C8"/>
    <w:rsid w:val="00850342"/>
    <w:rsid w:val="00862373"/>
    <w:rsid w:val="00872136"/>
    <w:rsid w:val="00874100"/>
    <w:rsid w:val="0089688F"/>
    <w:rsid w:val="008C115D"/>
    <w:rsid w:val="008D2FD8"/>
    <w:rsid w:val="008D77F0"/>
    <w:rsid w:val="00921C44"/>
    <w:rsid w:val="00923C2B"/>
    <w:rsid w:val="00955DA0"/>
    <w:rsid w:val="009706F2"/>
    <w:rsid w:val="009A192F"/>
    <w:rsid w:val="009A1AFD"/>
    <w:rsid w:val="009B1151"/>
    <w:rsid w:val="009B16E3"/>
    <w:rsid w:val="009B3BF5"/>
    <w:rsid w:val="009B4425"/>
    <w:rsid w:val="009B7A56"/>
    <w:rsid w:val="009E0166"/>
    <w:rsid w:val="009E36DA"/>
    <w:rsid w:val="009E5AA4"/>
    <w:rsid w:val="009F7CF1"/>
    <w:rsid w:val="00A11957"/>
    <w:rsid w:val="00A406B2"/>
    <w:rsid w:val="00A4106F"/>
    <w:rsid w:val="00A41A47"/>
    <w:rsid w:val="00A464F9"/>
    <w:rsid w:val="00A6538A"/>
    <w:rsid w:val="00A756A2"/>
    <w:rsid w:val="00A92272"/>
    <w:rsid w:val="00A960B4"/>
    <w:rsid w:val="00AA24F2"/>
    <w:rsid w:val="00AA2C92"/>
    <w:rsid w:val="00AB46A9"/>
    <w:rsid w:val="00AB6852"/>
    <w:rsid w:val="00AD0E66"/>
    <w:rsid w:val="00B20B97"/>
    <w:rsid w:val="00B52714"/>
    <w:rsid w:val="00B70F2E"/>
    <w:rsid w:val="00B7103F"/>
    <w:rsid w:val="00B824A2"/>
    <w:rsid w:val="00B847DA"/>
    <w:rsid w:val="00B9590C"/>
    <w:rsid w:val="00BA18DC"/>
    <w:rsid w:val="00BB0FD6"/>
    <w:rsid w:val="00BB1311"/>
    <w:rsid w:val="00BD1B4C"/>
    <w:rsid w:val="00BD3B8C"/>
    <w:rsid w:val="00BD6B5C"/>
    <w:rsid w:val="00BF7BD4"/>
    <w:rsid w:val="00C01C18"/>
    <w:rsid w:val="00C02D1C"/>
    <w:rsid w:val="00C17C2B"/>
    <w:rsid w:val="00C522D9"/>
    <w:rsid w:val="00C70142"/>
    <w:rsid w:val="00C76BC7"/>
    <w:rsid w:val="00C87959"/>
    <w:rsid w:val="00C91189"/>
    <w:rsid w:val="00CA2920"/>
    <w:rsid w:val="00CA4EF9"/>
    <w:rsid w:val="00CA5B67"/>
    <w:rsid w:val="00CB213E"/>
    <w:rsid w:val="00CD0FC0"/>
    <w:rsid w:val="00CE00C5"/>
    <w:rsid w:val="00CF3656"/>
    <w:rsid w:val="00D016C7"/>
    <w:rsid w:val="00D23770"/>
    <w:rsid w:val="00D23C90"/>
    <w:rsid w:val="00D42F32"/>
    <w:rsid w:val="00D76D2B"/>
    <w:rsid w:val="00D824E2"/>
    <w:rsid w:val="00D913AC"/>
    <w:rsid w:val="00DE0076"/>
    <w:rsid w:val="00DF6EDD"/>
    <w:rsid w:val="00E11524"/>
    <w:rsid w:val="00E206A0"/>
    <w:rsid w:val="00E24DFA"/>
    <w:rsid w:val="00E30963"/>
    <w:rsid w:val="00E36094"/>
    <w:rsid w:val="00E363DA"/>
    <w:rsid w:val="00E40423"/>
    <w:rsid w:val="00E67F13"/>
    <w:rsid w:val="00E85D5D"/>
    <w:rsid w:val="00E93155"/>
    <w:rsid w:val="00EC07F2"/>
    <w:rsid w:val="00EC78B6"/>
    <w:rsid w:val="00EE7730"/>
    <w:rsid w:val="00F52DA0"/>
    <w:rsid w:val="00F54EAD"/>
    <w:rsid w:val="00F87B50"/>
    <w:rsid w:val="00F93CE8"/>
    <w:rsid w:val="00FA0364"/>
    <w:rsid w:val="00FA6B6E"/>
    <w:rsid w:val="00FC11DA"/>
    <w:rsid w:val="00FF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8DB38C"/>
  <w15:docId w15:val="{C26B470D-6100-4389-BC98-7EB6EB960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7F2"/>
    <w:rPr>
      <w:rFonts w:ascii="Calibri Light" w:hAnsi="Calibri Light"/>
    </w:rPr>
  </w:style>
  <w:style w:type="paragraph" w:styleId="Heading1">
    <w:name w:val="heading 1"/>
    <w:basedOn w:val="Normal"/>
    <w:next w:val="Normal"/>
    <w:link w:val="Heading1Char"/>
    <w:uiPriority w:val="9"/>
    <w:qFormat/>
    <w:rsid w:val="004D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7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23770"/>
    <w:rPr>
      <w:color w:val="0000FF"/>
      <w:u w:val="single"/>
    </w:rPr>
  </w:style>
  <w:style w:type="paragraph" w:styleId="Header">
    <w:name w:val="header"/>
    <w:basedOn w:val="Normal"/>
    <w:link w:val="HeaderChar"/>
    <w:uiPriority w:val="99"/>
    <w:unhideWhenUsed/>
    <w:rsid w:val="00D2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770"/>
  </w:style>
  <w:style w:type="paragraph" w:styleId="Footer">
    <w:name w:val="footer"/>
    <w:basedOn w:val="Normal"/>
    <w:link w:val="FooterChar"/>
    <w:uiPriority w:val="99"/>
    <w:unhideWhenUsed/>
    <w:rsid w:val="00D2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770"/>
  </w:style>
  <w:style w:type="paragraph" w:styleId="BalloonText">
    <w:name w:val="Balloon Text"/>
    <w:basedOn w:val="Normal"/>
    <w:link w:val="BalloonTextChar"/>
    <w:uiPriority w:val="99"/>
    <w:semiHidden/>
    <w:unhideWhenUsed/>
    <w:rsid w:val="00D2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70"/>
    <w:rPr>
      <w:rFonts w:ascii="Tahoma" w:hAnsi="Tahoma" w:cs="Tahoma"/>
      <w:sz w:val="16"/>
      <w:szCs w:val="16"/>
    </w:rPr>
  </w:style>
  <w:style w:type="table" w:styleId="TableGrid">
    <w:name w:val="Table Grid"/>
    <w:basedOn w:val="TableNormal"/>
    <w:uiPriority w:val="39"/>
    <w:rsid w:val="0037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2272"/>
    <w:rPr>
      <w:sz w:val="16"/>
      <w:szCs w:val="16"/>
    </w:rPr>
  </w:style>
  <w:style w:type="paragraph" w:styleId="CommentText">
    <w:name w:val="annotation text"/>
    <w:basedOn w:val="Normal"/>
    <w:link w:val="CommentTextChar"/>
    <w:uiPriority w:val="99"/>
    <w:semiHidden/>
    <w:unhideWhenUsed/>
    <w:rsid w:val="00A92272"/>
    <w:pPr>
      <w:spacing w:line="240" w:lineRule="auto"/>
    </w:pPr>
    <w:rPr>
      <w:sz w:val="20"/>
      <w:szCs w:val="20"/>
    </w:rPr>
  </w:style>
  <w:style w:type="character" w:customStyle="1" w:styleId="CommentTextChar">
    <w:name w:val="Comment Text Char"/>
    <w:basedOn w:val="DefaultParagraphFont"/>
    <w:link w:val="CommentText"/>
    <w:uiPriority w:val="99"/>
    <w:semiHidden/>
    <w:rsid w:val="00A92272"/>
    <w:rPr>
      <w:sz w:val="20"/>
      <w:szCs w:val="20"/>
    </w:rPr>
  </w:style>
  <w:style w:type="table" w:styleId="LightShading-Accent4">
    <w:name w:val="Light Shading Accent 4"/>
    <w:basedOn w:val="TableNormal"/>
    <w:uiPriority w:val="60"/>
    <w:rsid w:val="00A9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4D0D38"/>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4D0D38"/>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4D0D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0D38"/>
    <w:pPr>
      <w:spacing w:before="0" w:line="240" w:lineRule="auto"/>
      <w:outlineLvl w:val="9"/>
    </w:pPr>
    <w:rPr>
      <w:b/>
      <w:color w:val="auto"/>
      <w:sz w:val="28"/>
    </w:rPr>
  </w:style>
  <w:style w:type="paragraph" w:styleId="TOC1">
    <w:name w:val="toc 1"/>
    <w:basedOn w:val="Normal"/>
    <w:next w:val="Normal"/>
    <w:autoRedefine/>
    <w:uiPriority w:val="39"/>
    <w:unhideWhenUsed/>
    <w:rsid w:val="004D0D38"/>
    <w:pPr>
      <w:spacing w:after="100" w:line="259" w:lineRule="auto"/>
    </w:pPr>
    <w:rPr>
      <w:lang w:val="en-AU"/>
    </w:rPr>
  </w:style>
  <w:style w:type="paragraph" w:styleId="TOC2">
    <w:name w:val="toc 2"/>
    <w:basedOn w:val="Normal"/>
    <w:next w:val="Normal"/>
    <w:autoRedefine/>
    <w:uiPriority w:val="39"/>
    <w:unhideWhenUsed/>
    <w:rsid w:val="004D0D38"/>
    <w:pPr>
      <w:spacing w:after="100"/>
      <w:ind w:left="220"/>
    </w:pPr>
  </w:style>
  <w:style w:type="paragraph" w:styleId="TOC3">
    <w:name w:val="toc 3"/>
    <w:basedOn w:val="Normal"/>
    <w:next w:val="Normal"/>
    <w:autoRedefine/>
    <w:uiPriority w:val="39"/>
    <w:unhideWhenUsed/>
    <w:rsid w:val="004D0D38"/>
    <w:pPr>
      <w:spacing w:after="100"/>
      <w:ind w:left="440"/>
    </w:pPr>
  </w:style>
  <w:style w:type="table" w:customStyle="1" w:styleId="TableGrid1">
    <w:name w:val="Table Grid1"/>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F6EDD"/>
    <w:rPr>
      <w:b/>
      <w:bCs/>
    </w:rPr>
  </w:style>
  <w:style w:type="character" w:customStyle="1" w:styleId="CommentSubjectChar">
    <w:name w:val="Comment Subject Char"/>
    <w:basedOn w:val="CommentTextChar"/>
    <w:link w:val="CommentSubject"/>
    <w:uiPriority w:val="99"/>
    <w:semiHidden/>
    <w:rsid w:val="00DF6EDD"/>
    <w:rPr>
      <w:b/>
      <w:bCs/>
      <w:sz w:val="20"/>
      <w:szCs w:val="20"/>
    </w:rPr>
  </w:style>
  <w:style w:type="table" w:customStyle="1" w:styleId="TableGrid3">
    <w:name w:val="Table Grid3"/>
    <w:basedOn w:val="TableNormal"/>
    <w:next w:val="TableGrid"/>
    <w:uiPriority w:val="39"/>
    <w:rsid w:val="0066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155"/>
    <w:rPr>
      <w:color w:val="800080" w:themeColor="followedHyperlink"/>
      <w:u w:val="single"/>
    </w:rPr>
  </w:style>
  <w:style w:type="character" w:styleId="LineNumber">
    <w:name w:val="line number"/>
    <w:basedOn w:val="DefaultParagraphFont"/>
    <w:uiPriority w:val="99"/>
    <w:semiHidden/>
    <w:unhideWhenUsed/>
    <w:rsid w:val="00642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1264">
      <w:bodyDiv w:val="1"/>
      <w:marLeft w:val="0"/>
      <w:marRight w:val="0"/>
      <w:marTop w:val="0"/>
      <w:marBottom w:val="0"/>
      <w:divBdr>
        <w:top w:val="none" w:sz="0" w:space="0" w:color="auto"/>
        <w:left w:val="none" w:sz="0" w:space="0" w:color="auto"/>
        <w:bottom w:val="none" w:sz="0" w:space="0" w:color="auto"/>
        <w:right w:val="none" w:sz="0" w:space="0" w:color="auto"/>
      </w:divBdr>
    </w:div>
    <w:div w:id="113446252">
      <w:bodyDiv w:val="1"/>
      <w:marLeft w:val="0"/>
      <w:marRight w:val="0"/>
      <w:marTop w:val="0"/>
      <w:marBottom w:val="0"/>
      <w:divBdr>
        <w:top w:val="none" w:sz="0" w:space="0" w:color="auto"/>
        <w:left w:val="none" w:sz="0" w:space="0" w:color="auto"/>
        <w:bottom w:val="none" w:sz="0" w:space="0" w:color="auto"/>
        <w:right w:val="none" w:sz="0" w:space="0" w:color="auto"/>
      </w:divBdr>
    </w:div>
    <w:div w:id="701175802">
      <w:bodyDiv w:val="1"/>
      <w:marLeft w:val="0"/>
      <w:marRight w:val="0"/>
      <w:marTop w:val="0"/>
      <w:marBottom w:val="0"/>
      <w:divBdr>
        <w:top w:val="none" w:sz="0" w:space="0" w:color="auto"/>
        <w:left w:val="none" w:sz="0" w:space="0" w:color="auto"/>
        <w:bottom w:val="none" w:sz="0" w:space="0" w:color="auto"/>
        <w:right w:val="none" w:sz="0" w:space="0" w:color="auto"/>
      </w:divBdr>
    </w:div>
    <w:div w:id="950937067">
      <w:bodyDiv w:val="1"/>
      <w:marLeft w:val="0"/>
      <w:marRight w:val="0"/>
      <w:marTop w:val="0"/>
      <w:marBottom w:val="0"/>
      <w:divBdr>
        <w:top w:val="none" w:sz="0" w:space="0" w:color="auto"/>
        <w:left w:val="none" w:sz="0" w:space="0" w:color="auto"/>
        <w:bottom w:val="none" w:sz="0" w:space="0" w:color="auto"/>
        <w:right w:val="none" w:sz="0" w:space="0" w:color="auto"/>
      </w:divBdr>
    </w:div>
    <w:div w:id="139751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da.gov/downloads/UCM070911.pdf"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fda.gov/downloads/medicaldevices/deviceregulationandguidance/guidancedocuments/ucm253010.pdf" TargetMode="Externa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da.gov/downloads/MedicalDevices/DeviceRegulationandGuidance/GuidanceDocuments/ucm077575.pdf"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ms.gov/medicare/provider-enrollment-and-certification/surveycertificationgeninfo/downloads/survey-and-cert-letter-15-12-attachment-1.pdf"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93FC3-2BFA-43DE-8B01-5E608655E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1723</Words>
  <Characters>9825</Characters>
  <Application>Microsoft Office Word</Application>
  <DocSecurity>8</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Nedanoski</dc:creator>
  <cp:lastModifiedBy>Author</cp:lastModifiedBy>
  <cp:revision>4</cp:revision>
  <cp:lastPrinted>2019-05-31T00:46:00Z</cp:lastPrinted>
  <dcterms:created xsi:type="dcterms:W3CDTF">2019-06-04T06:56:00Z</dcterms:created>
  <dcterms:modified xsi:type="dcterms:W3CDTF">2019-06-11T02:30:00Z</dcterms:modified>
</cp:coreProperties>
</file>